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D6" w:rsidRDefault="002623D6" w:rsidP="002623D6">
      <w:pPr>
        <w:spacing w:after="0" w:line="240" w:lineRule="auto"/>
      </w:pPr>
      <w:r>
        <w:tab/>
        <w:t xml:space="preserve">Předmětem zakázky je provedení běžné údržby, oprav, revizí a zkoušek zdvihacích zařízení (dále jen ZZ), pravidelných inspekcí a zvláštního posouzení jeřábů v United Energy, a.s. podle následujících rozpisů a podmínek: </w:t>
      </w:r>
    </w:p>
    <w:p w:rsidR="002623D6" w:rsidRDefault="002623D6" w:rsidP="002623D6">
      <w:pPr>
        <w:spacing w:after="0" w:line="240" w:lineRule="auto"/>
      </w:pPr>
      <w:r>
        <w:tab/>
        <w:t xml:space="preserve"> </w:t>
      </w:r>
    </w:p>
    <w:p w:rsidR="002623D6" w:rsidRPr="00A00263" w:rsidRDefault="002623D6" w:rsidP="00A00263">
      <w:pPr>
        <w:pStyle w:val="Odstavecseseznamem"/>
        <w:numPr>
          <w:ilvl w:val="0"/>
          <w:numId w:val="3"/>
        </w:numPr>
        <w:spacing w:after="0" w:line="240" w:lineRule="auto"/>
        <w:rPr>
          <w:b/>
        </w:rPr>
      </w:pPr>
      <w:r w:rsidRPr="00A00263">
        <w:rPr>
          <w:b/>
        </w:rPr>
        <w:t>Běžná údržba ZZ</w:t>
      </w:r>
    </w:p>
    <w:p w:rsidR="002623D6" w:rsidRDefault="002623D6" w:rsidP="002623D6">
      <w:pPr>
        <w:spacing w:after="0" w:line="240" w:lineRule="auto"/>
      </w:pPr>
      <w:r>
        <w:tab/>
        <w:t>Sestává z celkového posouzení stavu ZZ a nosných konstrukcí, zejména se zaměřením na kontrolu nosných prostředků, koncových vypínačů, brzd, náplní, elektroinstalace a dále pak očištění konstrukce a elektroinstalace, dotažení šroubů a matic, mazání, doplnění náplní.</w:t>
      </w:r>
    </w:p>
    <w:p w:rsidR="002623D6" w:rsidRDefault="002623D6" w:rsidP="002623D6">
      <w:pPr>
        <w:spacing w:after="0" w:line="240" w:lineRule="auto"/>
      </w:pPr>
      <w:r>
        <w:t xml:space="preserve">Zjištěné nedostatky a závady zjištěné při provádění běžné údržby musí být neprodleně hlášeny provozovateli ZZ. Rozsah hodin a četnost provádění běžné údržby je uveden v Příloze č. 2. </w:t>
      </w:r>
    </w:p>
    <w:p w:rsidR="00D57453" w:rsidRPr="00D57453" w:rsidRDefault="00D57453" w:rsidP="002623D6">
      <w:pPr>
        <w:spacing w:after="0" w:line="240" w:lineRule="auto"/>
        <w:rPr>
          <w:color w:val="FF0000"/>
        </w:rPr>
      </w:pPr>
      <w:r>
        <w:rPr>
          <w:color w:val="FF0000"/>
        </w:rPr>
        <w:t xml:space="preserve">Soutěžit se bude celková roční cena za běžnou údržbu všech zdvihacích zařízení, uchazeč doplní údaje do tabulky na 101 a 102 řádku. </w:t>
      </w:r>
      <w:r w:rsidR="00A505F7">
        <w:rPr>
          <w:color w:val="FF0000"/>
        </w:rPr>
        <w:t>Celková cena musí zahrnovat veškeré náklady na provádění běžné údržby včetně dopravy.</w:t>
      </w:r>
    </w:p>
    <w:p w:rsidR="002623D6" w:rsidRDefault="002623D6" w:rsidP="002623D6">
      <w:pPr>
        <w:spacing w:after="0" w:line="240" w:lineRule="auto"/>
      </w:pPr>
    </w:p>
    <w:p w:rsidR="002623D6" w:rsidRPr="00A00263" w:rsidRDefault="002623D6" w:rsidP="00A00263">
      <w:pPr>
        <w:pStyle w:val="Odstavecseseznamem"/>
        <w:numPr>
          <w:ilvl w:val="0"/>
          <w:numId w:val="3"/>
        </w:numPr>
        <w:spacing w:after="0" w:line="240" w:lineRule="auto"/>
        <w:rPr>
          <w:b/>
        </w:rPr>
      </w:pPr>
      <w:r w:rsidRPr="00A00263">
        <w:rPr>
          <w:b/>
        </w:rPr>
        <w:t>Opravy</w:t>
      </w:r>
      <w:r w:rsidR="00A505F7" w:rsidRPr="00A00263">
        <w:rPr>
          <w:b/>
        </w:rPr>
        <w:t xml:space="preserve"> a odstraňování havárií</w:t>
      </w:r>
      <w:r w:rsidRPr="00A00263">
        <w:rPr>
          <w:b/>
        </w:rPr>
        <w:t xml:space="preserve"> ZZ</w:t>
      </w:r>
    </w:p>
    <w:p w:rsidR="002623D6" w:rsidRDefault="002623D6" w:rsidP="002623D6">
      <w:pPr>
        <w:spacing w:after="0" w:line="240" w:lineRule="auto"/>
      </w:pPr>
      <w:r>
        <w:tab/>
        <w:t>K odstraňování poruch ZZ požaduje Zadavatel držet pohotovost v ranním dvanáctihodinovém nepřetržitém režimu. V naléhavých případech, při nutnosti dodržení termínů oprav na výrobním zařízení UE, a.s. (např. při provádění BO/GO turbosoustrojí) musí práce na odstranění poruchy ZZ pokračovat až do ukončení – odstranění závady. Zhotovitel musí zajistit dodávku potřebných náhradních dílů k provedení opravy.</w:t>
      </w:r>
    </w:p>
    <w:p w:rsidR="002623D6" w:rsidRDefault="002623D6" w:rsidP="002623D6">
      <w:pPr>
        <w:spacing w:after="0" w:line="240" w:lineRule="auto"/>
      </w:pPr>
      <w:r>
        <w:tab/>
        <w:t>Poznámka:</w:t>
      </w:r>
      <w:r>
        <w:tab/>
        <w:t xml:space="preserve">Vzhledem k tomu, že většina poruch, které se na ZZ vyskytnou během provozu </w:t>
      </w:r>
      <w:proofErr w:type="gramStart"/>
      <w:r>
        <w:t>je</w:t>
      </w:r>
      <w:proofErr w:type="gramEnd"/>
      <w:r>
        <w:t xml:space="preserve"> v oblasti elektrického zařízení, musí mít Uchazeč zabezpečenou vlastní elektro údržbu.</w:t>
      </w:r>
    </w:p>
    <w:p w:rsidR="00A505F7" w:rsidRDefault="00A505F7" w:rsidP="002623D6">
      <w:pPr>
        <w:spacing w:after="0" w:line="240" w:lineRule="auto"/>
        <w:rPr>
          <w:color w:val="FF0000"/>
        </w:rPr>
      </w:pPr>
      <w:r>
        <w:rPr>
          <w:color w:val="FF0000"/>
        </w:rPr>
        <w:t>Soutěžit se bude samostatně základní hodinová sazba (včetně příplatků za soboty a neděle) za strojní práce</w:t>
      </w:r>
      <w:r w:rsidR="00A00263">
        <w:rPr>
          <w:color w:val="FF0000"/>
        </w:rPr>
        <w:t xml:space="preserve"> prováděné při opravách a odstraňování havárií na všech typech zdvihacích zařízení. Předpoklad rozsahu je </w:t>
      </w:r>
      <w:r w:rsidR="00B31FF9">
        <w:rPr>
          <w:color w:val="FF0000"/>
        </w:rPr>
        <w:t>2</w:t>
      </w:r>
      <w:r w:rsidR="00A00263">
        <w:rPr>
          <w:color w:val="FF0000"/>
        </w:rPr>
        <w:t>00 hodin za rok.</w:t>
      </w:r>
    </w:p>
    <w:p w:rsidR="00A00263" w:rsidRDefault="00A00263" w:rsidP="002623D6">
      <w:pPr>
        <w:spacing w:after="0" w:line="240" w:lineRule="auto"/>
        <w:rPr>
          <w:color w:val="FF0000"/>
        </w:rPr>
      </w:pPr>
    </w:p>
    <w:p w:rsidR="00A00263" w:rsidRDefault="00A00263" w:rsidP="002623D6">
      <w:pPr>
        <w:spacing w:after="0" w:line="240" w:lineRule="auto"/>
        <w:rPr>
          <w:color w:val="FF0000"/>
        </w:rPr>
      </w:pPr>
      <w:r>
        <w:rPr>
          <w:color w:val="FF0000"/>
        </w:rPr>
        <w:t xml:space="preserve">Soutěžit se bude samostatně základní hodinová sazba (včetně příplatků za soboty a neděle) za elektro práce prováděné při opravách a odstraňování havárií na všech typech zdvihacích zařízení. Předpoklad rozsahu je </w:t>
      </w:r>
      <w:r w:rsidR="00B31FF9">
        <w:rPr>
          <w:color w:val="FF0000"/>
        </w:rPr>
        <w:t>2</w:t>
      </w:r>
      <w:r>
        <w:rPr>
          <w:color w:val="FF0000"/>
        </w:rPr>
        <w:t>00 hodin za rok.</w:t>
      </w:r>
    </w:p>
    <w:p w:rsidR="001E6EAC" w:rsidRDefault="001E6EAC" w:rsidP="002623D6">
      <w:pPr>
        <w:spacing w:after="0" w:line="240" w:lineRule="auto"/>
        <w:rPr>
          <w:color w:val="FF0000"/>
        </w:rPr>
      </w:pPr>
    </w:p>
    <w:p w:rsidR="001E6EAC" w:rsidRDefault="001E6EAC" w:rsidP="001E6EAC">
      <w:pPr>
        <w:spacing w:after="0" w:line="240" w:lineRule="auto"/>
      </w:pPr>
      <w:r>
        <w:t>Požadavky na dopravu</w:t>
      </w:r>
    </w:p>
    <w:p w:rsidR="001E6EAC" w:rsidRDefault="001E6EAC" w:rsidP="001E6EAC">
      <w:pPr>
        <w:spacing w:after="0" w:line="240" w:lineRule="auto"/>
      </w:pPr>
      <w:r>
        <w:t xml:space="preserve">          Zhotovitel zajistí veškerou dopravu, vztahující se k předmětu plnění díla. </w:t>
      </w:r>
    </w:p>
    <w:p w:rsidR="001E6EAC" w:rsidRPr="00C71EA9" w:rsidRDefault="001E6EAC" w:rsidP="001E6EAC">
      <w:pPr>
        <w:spacing w:after="0" w:line="240" w:lineRule="auto"/>
        <w:rPr>
          <w:color w:val="FF0000"/>
        </w:rPr>
      </w:pPr>
      <w:r>
        <w:rPr>
          <w:color w:val="FF0000"/>
        </w:rPr>
        <w:t>Soutěžit se bude samostatně cena za dopravu při opravách. Uchazeč uvede cenu dopravy 1 vozidla, zajišťujícího přepravu materiálu a personálu, za 1 uskutečněný výjezd z nejbližšího střediska uchazeče do místa plnění a zpět. Předpoklad zadavatele je uskutečnění 75 výjezdů za rok.</w:t>
      </w:r>
    </w:p>
    <w:p w:rsidR="002623D6" w:rsidRDefault="002623D6" w:rsidP="002623D6">
      <w:pPr>
        <w:spacing w:after="0" w:line="240" w:lineRule="auto"/>
      </w:pPr>
      <w:r>
        <w:tab/>
      </w:r>
    </w:p>
    <w:p w:rsidR="002623D6" w:rsidRPr="00A00263" w:rsidRDefault="002623D6" w:rsidP="00A00263">
      <w:pPr>
        <w:pStyle w:val="Odstavecseseznamem"/>
        <w:numPr>
          <w:ilvl w:val="0"/>
          <w:numId w:val="3"/>
        </w:numPr>
        <w:spacing w:after="0" w:line="240" w:lineRule="auto"/>
        <w:rPr>
          <w:b/>
        </w:rPr>
      </w:pPr>
      <w:r w:rsidRPr="00A00263">
        <w:rPr>
          <w:b/>
        </w:rPr>
        <w:t>Revize a zkoušky ZZ</w:t>
      </w:r>
    </w:p>
    <w:p w:rsidR="002623D6" w:rsidRDefault="002623D6" w:rsidP="002623D6">
      <w:pPr>
        <w:spacing w:after="0" w:line="240" w:lineRule="auto"/>
      </w:pPr>
      <w:r>
        <w:tab/>
        <w:t xml:space="preserve">Revize a zkoušky ZZ budou prováděny v rozsahu a lhůtách stanovených </w:t>
      </w:r>
      <w:r>
        <w:br/>
        <w:t xml:space="preserve">ČSN 27 0142. Pro provádění revizních zkoušek je u Zadavatele k dispozici zkušební závaží o hmotnosti 2000 kg a 5000 kg, ostatní závaží (pokud nebude zkouška provedena provozním zatížením) zajistí Zhotovitel. Zhotovitel zajistí pro provedení zkoušek příslušné vázací prostředky. Součástí této poptávky není provádění revizí elektrického zařízení ZZ, které zajišťuje Zadavatel. </w:t>
      </w:r>
      <w:r w:rsidR="00663C15">
        <w:t>Seznam ZZ je uveden v příloze č.</w:t>
      </w:r>
      <w:r w:rsidR="00A00263">
        <w:t xml:space="preserve"> </w:t>
      </w:r>
      <w:r w:rsidR="00663C15">
        <w:t>3</w:t>
      </w:r>
      <w:r w:rsidR="00147F60">
        <w:t>.</w:t>
      </w:r>
      <w:r w:rsidR="00A00263">
        <w:t xml:space="preserve"> Uchazeč doplní cenu u jednotlivých položek.</w:t>
      </w:r>
    </w:p>
    <w:p w:rsidR="0051300F" w:rsidRDefault="00A00263" w:rsidP="002623D6">
      <w:pPr>
        <w:spacing w:after="0" w:line="240" w:lineRule="auto"/>
        <w:rPr>
          <w:color w:val="FF0000"/>
        </w:rPr>
      </w:pPr>
      <w:r>
        <w:rPr>
          <w:color w:val="FF0000"/>
        </w:rPr>
        <w:t>Soutěžit se bude samostatně</w:t>
      </w:r>
      <w:r w:rsidR="0051300F">
        <w:rPr>
          <w:color w:val="FF0000"/>
        </w:rPr>
        <w:t xml:space="preserve"> roční celková cena:</w:t>
      </w:r>
    </w:p>
    <w:p w:rsidR="00A00263" w:rsidRDefault="00A00263" w:rsidP="0051300F">
      <w:pPr>
        <w:pStyle w:val="Odstavecseseznamem"/>
        <w:numPr>
          <w:ilvl w:val="0"/>
          <w:numId w:val="5"/>
        </w:numPr>
        <w:spacing w:after="0" w:line="240" w:lineRule="auto"/>
        <w:rPr>
          <w:color w:val="FF0000"/>
        </w:rPr>
      </w:pPr>
      <w:r w:rsidRPr="0051300F">
        <w:rPr>
          <w:color w:val="FF0000"/>
        </w:rPr>
        <w:t>za revize ZZ</w:t>
      </w:r>
      <w:r w:rsidR="0051300F">
        <w:rPr>
          <w:color w:val="FF0000"/>
        </w:rPr>
        <w:t>;</w:t>
      </w:r>
    </w:p>
    <w:p w:rsidR="0051300F" w:rsidRDefault="0051300F" w:rsidP="0051300F">
      <w:pPr>
        <w:pStyle w:val="Odstavecseseznamem"/>
        <w:numPr>
          <w:ilvl w:val="0"/>
          <w:numId w:val="5"/>
        </w:numPr>
        <w:spacing w:after="0" w:line="240" w:lineRule="auto"/>
        <w:rPr>
          <w:color w:val="FF0000"/>
        </w:rPr>
      </w:pPr>
      <w:r>
        <w:rPr>
          <w:color w:val="FF0000"/>
        </w:rPr>
        <w:t>za revizní zkoušky</w:t>
      </w:r>
      <w:r w:rsidR="004C706D">
        <w:rPr>
          <w:color w:val="FF0000"/>
        </w:rPr>
        <w:t>.</w:t>
      </w:r>
    </w:p>
    <w:p w:rsidR="0051300F" w:rsidRDefault="004C706D" w:rsidP="0051300F">
      <w:pPr>
        <w:spacing w:after="0" w:line="240" w:lineRule="auto"/>
        <w:rPr>
          <w:color w:val="FF0000"/>
        </w:rPr>
      </w:pPr>
      <w:r>
        <w:rPr>
          <w:color w:val="FF0000"/>
        </w:rPr>
        <w:lastRenderedPageBreak/>
        <w:t>C</w:t>
      </w:r>
      <w:r w:rsidR="0051300F">
        <w:rPr>
          <w:color w:val="FF0000"/>
        </w:rPr>
        <w:t>elkové ceny</w:t>
      </w:r>
      <w:r>
        <w:rPr>
          <w:color w:val="FF0000"/>
        </w:rPr>
        <w:t xml:space="preserve"> jednotlivých</w:t>
      </w:r>
      <w:r w:rsidR="0051300F">
        <w:rPr>
          <w:color w:val="FF0000"/>
        </w:rPr>
        <w:t xml:space="preserve"> nabíd</w:t>
      </w:r>
      <w:r>
        <w:rPr>
          <w:color w:val="FF0000"/>
        </w:rPr>
        <w:t xml:space="preserve">ek </w:t>
      </w:r>
      <w:r w:rsidR="0051300F">
        <w:rPr>
          <w:color w:val="FF0000"/>
        </w:rPr>
        <w:t>musí zahrnovat veškeré náklady na provedení</w:t>
      </w:r>
      <w:r>
        <w:rPr>
          <w:color w:val="FF0000"/>
        </w:rPr>
        <w:t xml:space="preserve"> revizí a revizních zkoušek včetně dopravy.</w:t>
      </w:r>
      <w:r w:rsidR="00C71EA9">
        <w:rPr>
          <w:color w:val="FF0000"/>
        </w:rPr>
        <w:t xml:space="preserve"> Uchazeč vyplní jednotlivé rozpočty v Příloze č. 3.</w:t>
      </w:r>
    </w:p>
    <w:p w:rsidR="005D6AF2" w:rsidRDefault="005D6AF2" w:rsidP="0051300F">
      <w:pPr>
        <w:spacing w:after="0" w:line="240" w:lineRule="auto"/>
        <w:rPr>
          <w:color w:val="FF0000"/>
        </w:rPr>
      </w:pPr>
    </w:p>
    <w:p w:rsidR="002623D6" w:rsidRPr="004C706D" w:rsidRDefault="002623D6" w:rsidP="004C706D">
      <w:pPr>
        <w:pStyle w:val="Odstavecseseznamem"/>
        <w:numPr>
          <w:ilvl w:val="0"/>
          <w:numId w:val="3"/>
        </w:numPr>
        <w:spacing w:after="0" w:line="240" w:lineRule="auto"/>
        <w:rPr>
          <w:b/>
        </w:rPr>
      </w:pPr>
      <w:r w:rsidRPr="004C706D">
        <w:rPr>
          <w:b/>
        </w:rPr>
        <w:t>Inspekce jeřábů</w:t>
      </w:r>
      <w:r w:rsidRPr="004C706D">
        <w:rPr>
          <w:b/>
        </w:rPr>
        <w:tab/>
      </w:r>
    </w:p>
    <w:p w:rsidR="002623D6" w:rsidRDefault="002623D6" w:rsidP="002623D6">
      <w:pPr>
        <w:spacing w:after="0" w:line="240" w:lineRule="auto"/>
      </w:pPr>
      <w:r>
        <w:tab/>
        <w:t xml:space="preserve">Pravidelné inspekce jeřábů (nikoliv kladkostrojů a ostatních ZZ) jsou prováděny v mezidobí revizí a revizních zkoušek v intervalu 1x ročně a rozsahu stanoveném </w:t>
      </w:r>
      <w:r>
        <w:br/>
        <w:t>ČSN ISO 9927 – 1. V roce, ve kterém je termín revize či revizní zkoušky, nahrazují tyto revize a zkoušky inspekci jeřábu.</w:t>
      </w:r>
      <w:r w:rsidR="00663C15">
        <w:t xml:space="preserve"> Seznam ZZ je uveden v příloze č.</w:t>
      </w:r>
      <w:r w:rsidR="004C706D">
        <w:t xml:space="preserve"> </w:t>
      </w:r>
      <w:r w:rsidR="00663C15">
        <w:t>3</w:t>
      </w:r>
      <w:r w:rsidR="00147F60">
        <w:t>.</w:t>
      </w:r>
    </w:p>
    <w:p w:rsidR="004C706D" w:rsidRDefault="004C706D" w:rsidP="004C706D">
      <w:pPr>
        <w:spacing w:after="0" w:line="240" w:lineRule="auto"/>
        <w:rPr>
          <w:color w:val="FF0000"/>
        </w:rPr>
      </w:pPr>
      <w:r>
        <w:rPr>
          <w:color w:val="FF0000"/>
        </w:rPr>
        <w:t>Soutěžit se bude samostatně roční celková cena:</w:t>
      </w:r>
    </w:p>
    <w:p w:rsidR="004C706D" w:rsidRPr="00EC7BFA" w:rsidRDefault="00EC7BFA" w:rsidP="004C706D">
      <w:pPr>
        <w:pStyle w:val="Odstavecseseznamem"/>
        <w:numPr>
          <w:ilvl w:val="0"/>
          <w:numId w:val="5"/>
        </w:numPr>
        <w:spacing w:after="0" w:line="240" w:lineRule="auto"/>
        <w:rPr>
          <w:color w:val="FF0000"/>
        </w:rPr>
      </w:pPr>
      <w:r w:rsidRPr="00EC7BFA">
        <w:rPr>
          <w:color w:val="FF0000"/>
        </w:rPr>
        <w:t>za inspekci jeřábů</w:t>
      </w:r>
      <w:r w:rsidR="004C706D" w:rsidRPr="00EC7BFA">
        <w:rPr>
          <w:color w:val="FF0000"/>
        </w:rPr>
        <w:t>.</w:t>
      </w:r>
    </w:p>
    <w:p w:rsidR="004C706D" w:rsidRDefault="004C706D" w:rsidP="004C706D">
      <w:pPr>
        <w:spacing w:after="0" w:line="240" w:lineRule="auto"/>
        <w:rPr>
          <w:color w:val="FF0000"/>
        </w:rPr>
      </w:pPr>
      <w:r>
        <w:rPr>
          <w:color w:val="FF0000"/>
        </w:rPr>
        <w:t>Celkov</w:t>
      </w:r>
      <w:r w:rsidR="00EC7BFA">
        <w:rPr>
          <w:color w:val="FF0000"/>
        </w:rPr>
        <w:t>á</w:t>
      </w:r>
      <w:r>
        <w:rPr>
          <w:color w:val="FF0000"/>
        </w:rPr>
        <w:t xml:space="preserve"> cen</w:t>
      </w:r>
      <w:r w:rsidR="00EC7BFA">
        <w:rPr>
          <w:color w:val="FF0000"/>
        </w:rPr>
        <w:t>a</w:t>
      </w:r>
      <w:r>
        <w:rPr>
          <w:color w:val="FF0000"/>
        </w:rPr>
        <w:t xml:space="preserve"> nabíd</w:t>
      </w:r>
      <w:r w:rsidR="00EC7BFA">
        <w:rPr>
          <w:color w:val="FF0000"/>
        </w:rPr>
        <w:t>ky</w:t>
      </w:r>
      <w:r>
        <w:rPr>
          <w:color w:val="FF0000"/>
        </w:rPr>
        <w:t xml:space="preserve"> musí zahrnovat veškeré náklady na provedení </w:t>
      </w:r>
      <w:r w:rsidR="00EC7BFA">
        <w:rPr>
          <w:color w:val="FF0000"/>
        </w:rPr>
        <w:t>na provedení inspekce jeřábů</w:t>
      </w:r>
      <w:r>
        <w:rPr>
          <w:color w:val="FF0000"/>
        </w:rPr>
        <w:t xml:space="preserve"> včetně dopravy.</w:t>
      </w:r>
      <w:r w:rsidR="00C71EA9">
        <w:rPr>
          <w:color w:val="FF0000"/>
        </w:rPr>
        <w:t xml:space="preserve"> Uchazeč vyplní jednotlivé rozpočty v Příloze č. 3.</w:t>
      </w:r>
    </w:p>
    <w:p w:rsidR="002623D6" w:rsidRDefault="002623D6" w:rsidP="002623D6">
      <w:pPr>
        <w:spacing w:after="0" w:line="240" w:lineRule="auto"/>
      </w:pPr>
    </w:p>
    <w:p w:rsidR="002623D6" w:rsidRPr="00E1113D" w:rsidRDefault="002623D6" w:rsidP="00E1113D">
      <w:pPr>
        <w:pStyle w:val="Odstavecseseznamem"/>
        <w:numPr>
          <w:ilvl w:val="0"/>
          <w:numId w:val="3"/>
        </w:numPr>
        <w:spacing w:after="0" w:line="240" w:lineRule="auto"/>
        <w:rPr>
          <w:b/>
        </w:rPr>
      </w:pPr>
      <w:r w:rsidRPr="00E1113D">
        <w:rPr>
          <w:b/>
        </w:rPr>
        <w:t xml:space="preserve">Zvláštní posouzení jeřábů </w:t>
      </w:r>
    </w:p>
    <w:p w:rsidR="002623D6" w:rsidRDefault="002623D6" w:rsidP="002623D6">
      <w:pPr>
        <w:spacing w:after="0" w:line="240" w:lineRule="auto"/>
      </w:pPr>
      <w:r>
        <w:tab/>
        <w:t xml:space="preserve">Zvláštní posouzení jeřábu musí být provedeno v případech stanovených </w:t>
      </w:r>
      <w:r>
        <w:br/>
        <w:t>ČSN ISO 12482 – 1 a zejména pak jestliže se jeřáb přiblíží k projektovým omezujícím podmínkám provozu (ke konci technické „životnosti“), nejpozději do 20. Let od data výroby mostových jeřábů. Před zvláštním posouzením bude Zhotovitelem zpracována zvlášť cenová nabídka na konkrétní jeřáb a až po jejím odsouhlasení Zadavatelem může být toto posouzení provedeno.</w:t>
      </w:r>
    </w:p>
    <w:p w:rsidR="002623D6" w:rsidRDefault="002623D6" w:rsidP="002623D6">
      <w:pPr>
        <w:spacing w:after="0" w:line="240" w:lineRule="auto"/>
      </w:pPr>
      <w:bookmarkStart w:id="0" w:name="_GoBack"/>
      <w:bookmarkEnd w:id="0"/>
    </w:p>
    <w:p w:rsidR="002623D6" w:rsidRDefault="002623D6" w:rsidP="002623D6">
      <w:pPr>
        <w:spacing w:after="0" w:line="240" w:lineRule="auto"/>
      </w:pPr>
      <w:r>
        <w:t>Lešenářské práce</w:t>
      </w:r>
    </w:p>
    <w:p w:rsidR="00F0698E" w:rsidRDefault="002623D6" w:rsidP="00F0698E">
      <w:pPr>
        <w:spacing w:after="0" w:line="240" w:lineRule="auto"/>
      </w:pPr>
      <w:r>
        <w:t xml:space="preserve">          Lešenářské práce (výstavba/zbourání lešení) potřebné k provádění oprav nejsou předmětem této poptávky, tyto práce zajistí před konkrétní opravou Zadavatel.</w:t>
      </w:r>
    </w:p>
    <w:p w:rsidR="00B31FF9" w:rsidRDefault="00B31FF9" w:rsidP="00F0698E">
      <w:pPr>
        <w:spacing w:after="0" w:line="240" w:lineRule="auto"/>
      </w:pPr>
    </w:p>
    <w:p w:rsidR="00F0698E" w:rsidRPr="00F0698E" w:rsidRDefault="00F0698E" w:rsidP="00F0698E">
      <w:pPr>
        <w:spacing w:after="0" w:line="240" w:lineRule="auto"/>
      </w:pPr>
      <w:r w:rsidRPr="00F0698E">
        <w:rPr>
          <w:rFonts w:eastAsia="Times New Roman" w:cs="Times New Roman"/>
          <w:color w:val="000000"/>
          <w:sz w:val="22"/>
          <w:szCs w:val="20"/>
          <w:lang w:eastAsia="cs-CZ"/>
        </w:rPr>
        <w:t>Uchazeč předloží v nabídce nabídkovou cenu zpracovanou v tuzemské měně (bez DPH) takto:</w:t>
      </w:r>
    </w:p>
    <w:p w:rsidR="00F0698E" w:rsidRPr="00F0698E" w:rsidRDefault="00F0698E" w:rsidP="00F0698E">
      <w:pPr>
        <w:widowControl w:val="0"/>
        <w:tabs>
          <w:tab w:val="num" w:pos="540"/>
        </w:tabs>
        <w:spacing w:before="80" w:after="0" w:line="240" w:lineRule="auto"/>
        <w:ind w:left="540"/>
        <w:jc w:val="left"/>
        <w:rPr>
          <w:rFonts w:eastAsia="Times New Roman" w:cs="Times New Roman"/>
          <w:sz w:val="22"/>
          <w:szCs w:val="20"/>
          <w:lang w:eastAsia="cs-CZ"/>
        </w:rPr>
      </w:pPr>
      <w:r w:rsidRPr="00F0698E">
        <w:rPr>
          <w:rFonts w:eastAsia="Times New Roman" w:cs="Times New Roman"/>
          <w:sz w:val="22"/>
          <w:szCs w:val="20"/>
          <w:lang w:eastAsia="cs-CZ"/>
        </w:rPr>
        <w:t xml:space="preserve">Cena musí zahrnovat veškeré náklady spojené s provedením předmětu plnění zakázky. Bude zpracována položkově dle zadání a </w:t>
      </w:r>
      <w:r w:rsidRPr="00F0698E">
        <w:rPr>
          <w:rFonts w:eastAsia="Times New Roman" w:cs="Times New Roman"/>
          <w:color w:val="000000"/>
          <w:sz w:val="22"/>
          <w:szCs w:val="20"/>
          <w:lang w:eastAsia="cs-CZ"/>
        </w:rPr>
        <w:t xml:space="preserve">rozpisu prací po jednotlivých částech </w:t>
      </w:r>
      <w:r w:rsidRPr="00F0698E">
        <w:rPr>
          <w:rFonts w:eastAsia="Times New Roman" w:cs="Times New Roman"/>
          <w:sz w:val="22"/>
          <w:szCs w:val="20"/>
          <w:lang w:eastAsia="cs-CZ"/>
        </w:rPr>
        <w:t>jako cena pevná a neměnná:</w:t>
      </w:r>
    </w:p>
    <w:p w:rsidR="00F0698E" w:rsidRPr="00F0698E" w:rsidRDefault="00F0698E" w:rsidP="00F0698E">
      <w:pPr>
        <w:widowControl w:val="0"/>
        <w:numPr>
          <w:ilvl w:val="0"/>
          <w:numId w:val="2"/>
        </w:numPr>
        <w:tabs>
          <w:tab w:val="num" w:pos="1080"/>
        </w:tabs>
        <w:spacing w:before="80" w:after="0" w:line="240" w:lineRule="auto"/>
        <w:ind w:left="1080" w:hanging="540"/>
        <w:jc w:val="left"/>
        <w:rPr>
          <w:rFonts w:eastAsia="Times New Roman" w:cs="Times New Roman"/>
          <w:sz w:val="22"/>
          <w:szCs w:val="20"/>
          <w:lang w:eastAsia="cs-CZ"/>
        </w:rPr>
      </w:pPr>
      <w:r w:rsidRPr="00F0698E">
        <w:rPr>
          <w:rFonts w:eastAsia="Times New Roman" w:cs="Times New Roman"/>
          <w:sz w:val="22"/>
          <w:szCs w:val="20"/>
          <w:lang w:eastAsia="cs-CZ"/>
        </w:rPr>
        <w:t>Základní hodinová sazba (dále jen ZHS)</w:t>
      </w:r>
      <w:r w:rsidR="00030C9C">
        <w:rPr>
          <w:rFonts w:eastAsia="Times New Roman" w:cs="Times New Roman"/>
          <w:sz w:val="22"/>
          <w:szCs w:val="20"/>
          <w:lang w:eastAsia="cs-CZ"/>
        </w:rPr>
        <w:t xml:space="preserve"> včetně příplatků za soboty a neděle</w:t>
      </w:r>
      <w:r w:rsidRPr="00F0698E">
        <w:rPr>
          <w:rFonts w:eastAsia="Times New Roman" w:cs="Times New Roman"/>
          <w:sz w:val="22"/>
          <w:szCs w:val="20"/>
          <w:lang w:eastAsia="cs-CZ"/>
        </w:rPr>
        <w:t xml:space="preserve"> – strojní práce,</w:t>
      </w:r>
    </w:p>
    <w:p w:rsidR="00F0698E" w:rsidRDefault="00F0698E" w:rsidP="00F0698E">
      <w:pPr>
        <w:widowControl w:val="0"/>
        <w:numPr>
          <w:ilvl w:val="0"/>
          <w:numId w:val="2"/>
        </w:numPr>
        <w:tabs>
          <w:tab w:val="num" w:pos="1080"/>
        </w:tabs>
        <w:spacing w:before="80" w:after="0" w:line="240" w:lineRule="auto"/>
        <w:ind w:left="1080" w:hanging="540"/>
        <w:jc w:val="left"/>
        <w:rPr>
          <w:rFonts w:eastAsia="Times New Roman" w:cs="Times New Roman"/>
          <w:sz w:val="22"/>
          <w:szCs w:val="20"/>
          <w:lang w:eastAsia="cs-CZ"/>
        </w:rPr>
      </w:pPr>
      <w:r w:rsidRPr="00F0698E">
        <w:rPr>
          <w:rFonts w:eastAsia="Times New Roman" w:cs="Times New Roman"/>
          <w:sz w:val="22"/>
          <w:szCs w:val="20"/>
          <w:lang w:eastAsia="cs-CZ"/>
        </w:rPr>
        <w:t>ZHS</w:t>
      </w:r>
      <w:r w:rsidR="00030C9C">
        <w:rPr>
          <w:rFonts w:eastAsia="Times New Roman" w:cs="Times New Roman"/>
          <w:sz w:val="22"/>
          <w:szCs w:val="20"/>
          <w:lang w:eastAsia="cs-CZ"/>
        </w:rPr>
        <w:t xml:space="preserve"> včetně příplatků za soboty a neděle</w:t>
      </w:r>
      <w:r w:rsidRPr="00F0698E">
        <w:rPr>
          <w:rFonts w:eastAsia="Times New Roman" w:cs="Times New Roman"/>
          <w:sz w:val="22"/>
          <w:szCs w:val="20"/>
          <w:lang w:eastAsia="cs-CZ"/>
        </w:rPr>
        <w:t xml:space="preserve"> – </w:t>
      </w:r>
      <w:proofErr w:type="spellStart"/>
      <w:r w:rsidRPr="00F0698E">
        <w:rPr>
          <w:rFonts w:eastAsia="Times New Roman" w:cs="Times New Roman"/>
          <w:sz w:val="22"/>
          <w:szCs w:val="20"/>
          <w:lang w:eastAsia="cs-CZ"/>
        </w:rPr>
        <w:t>elekro</w:t>
      </w:r>
      <w:proofErr w:type="spellEnd"/>
      <w:r w:rsidRPr="00F0698E">
        <w:rPr>
          <w:rFonts w:eastAsia="Times New Roman" w:cs="Times New Roman"/>
          <w:sz w:val="22"/>
          <w:szCs w:val="20"/>
          <w:lang w:eastAsia="cs-CZ"/>
        </w:rPr>
        <w:t xml:space="preserve"> práce,</w:t>
      </w:r>
    </w:p>
    <w:p w:rsidR="00B31FF9" w:rsidRPr="00F0698E" w:rsidRDefault="00030C9C" w:rsidP="00F0698E">
      <w:pPr>
        <w:widowControl w:val="0"/>
        <w:numPr>
          <w:ilvl w:val="0"/>
          <w:numId w:val="2"/>
        </w:numPr>
        <w:tabs>
          <w:tab w:val="num" w:pos="1080"/>
        </w:tabs>
        <w:spacing w:before="80" w:after="0" w:line="240" w:lineRule="auto"/>
        <w:ind w:left="1080" w:hanging="540"/>
        <w:jc w:val="left"/>
        <w:rPr>
          <w:rFonts w:eastAsia="Times New Roman" w:cs="Times New Roman"/>
          <w:sz w:val="22"/>
          <w:szCs w:val="20"/>
          <w:lang w:eastAsia="cs-CZ"/>
        </w:rPr>
      </w:pPr>
      <w:r>
        <w:rPr>
          <w:rFonts w:eastAsia="Times New Roman" w:cs="Times New Roman"/>
          <w:sz w:val="22"/>
          <w:szCs w:val="20"/>
          <w:lang w:eastAsia="cs-CZ"/>
        </w:rPr>
        <w:t>Cena za dopravu při opravách</w:t>
      </w:r>
    </w:p>
    <w:p w:rsidR="00F0698E" w:rsidRPr="00F0698E" w:rsidRDefault="00F0698E" w:rsidP="00F0698E">
      <w:pPr>
        <w:widowControl w:val="0"/>
        <w:spacing w:before="80" w:after="0" w:line="240" w:lineRule="auto"/>
        <w:ind w:left="851" w:hanging="425"/>
        <w:jc w:val="left"/>
        <w:rPr>
          <w:rFonts w:eastAsia="Times New Roman" w:cs="Times New Roman"/>
          <w:color w:val="000000"/>
          <w:sz w:val="22"/>
          <w:szCs w:val="20"/>
          <w:lang w:eastAsia="cs-CZ"/>
        </w:rPr>
      </w:pPr>
      <w:r w:rsidRPr="00F0698E">
        <w:rPr>
          <w:rFonts w:eastAsia="Times New Roman" w:cs="Times New Roman"/>
          <w:sz w:val="22"/>
          <w:szCs w:val="20"/>
          <w:lang w:eastAsia="cs-CZ"/>
        </w:rPr>
        <w:t xml:space="preserve">  a dále pak:</w:t>
      </w:r>
    </w:p>
    <w:p w:rsidR="00F0698E" w:rsidRPr="00F0698E" w:rsidRDefault="00F0698E" w:rsidP="00F0698E">
      <w:pPr>
        <w:widowControl w:val="0"/>
        <w:numPr>
          <w:ilvl w:val="0"/>
          <w:numId w:val="2"/>
        </w:numPr>
        <w:tabs>
          <w:tab w:val="num" w:pos="1080"/>
        </w:tabs>
        <w:spacing w:before="80" w:after="0" w:line="240" w:lineRule="auto"/>
        <w:ind w:left="1080" w:hanging="540"/>
        <w:jc w:val="left"/>
        <w:rPr>
          <w:rFonts w:eastAsia="Times New Roman" w:cs="Times New Roman"/>
          <w:sz w:val="22"/>
          <w:szCs w:val="20"/>
          <w:lang w:eastAsia="cs-CZ"/>
        </w:rPr>
      </w:pPr>
      <w:r w:rsidRPr="00F0698E">
        <w:rPr>
          <w:rFonts w:eastAsia="Times New Roman" w:cs="Times New Roman"/>
          <w:sz w:val="22"/>
          <w:szCs w:val="20"/>
          <w:lang w:eastAsia="cs-CZ"/>
        </w:rPr>
        <w:t>celková cena za roční běžnou údržbu ZZ dle rozpisu Přílohy č. 2,</w:t>
      </w:r>
    </w:p>
    <w:p w:rsidR="00F0698E" w:rsidRPr="00F0698E" w:rsidRDefault="009237EE" w:rsidP="00F0698E">
      <w:pPr>
        <w:widowControl w:val="0"/>
        <w:numPr>
          <w:ilvl w:val="0"/>
          <w:numId w:val="2"/>
        </w:numPr>
        <w:tabs>
          <w:tab w:val="num" w:pos="1080"/>
        </w:tabs>
        <w:spacing w:before="80" w:after="0" w:line="240" w:lineRule="auto"/>
        <w:ind w:left="1080" w:hanging="540"/>
        <w:jc w:val="left"/>
        <w:rPr>
          <w:rFonts w:eastAsia="Times New Roman" w:cs="Times New Roman"/>
          <w:sz w:val="22"/>
          <w:szCs w:val="20"/>
          <w:lang w:eastAsia="cs-CZ"/>
        </w:rPr>
      </w:pPr>
      <w:r>
        <w:rPr>
          <w:rFonts w:eastAsia="Times New Roman" w:cs="Times New Roman"/>
          <w:sz w:val="22"/>
          <w:szCs w:val="20"/>
          <w:lang w:eastAsia="cs-CZ"/>
        </w:rPr>
        <w:t>celková cena za revize ZZ</w:t>
      </w:r>
      <w:r w:rsidR="00030C9C">
        <w:rPr>
          <w:rFonts w:eastAsia="Times New Roman" w:cs="Times New Roman"/>
          <w:sz w:val="22"/>
          <w:szCs w:val="20"/>
          <w:lang w:eastAsia="cs-CZ"/>
        </w:rPr>
        <w:t xml:space="preserve"> dle </w:t>
      </w:r>
      <w:r>
        <w:rPr>
          <w:rFonts w:eastAsia="Times New Roman" w:cs="Times New Roman"/>
          <w:sz w:val="22"/>
          <w:szCs w:val="20"/>
          <w:lang w:eastAsia="cs-CZ"/>
        </w:rPr>
        <w:t>Přílohy č. 3</w:t>
      </w:r>
      <w:r w:rsidR="00030C9C">
        <w:rPr>
          <w:rFonts w:eastAsia="Times New Roman" w:cs="Times New Roman"/>
          <w:sz w:val="22"/>
          <w:szCs w:val="20"/>
          <w:lang w:eastAsia="cs-CZ"/>
        </w:rPr>
        <w:t>,</w:t>
      </w:r>
    </w:p>
    <w:p w:rsidR="00F0698E" w:rsidRPr="00F0698E" w:rsidRDefault="00F0698E" w:rsidP="00F0698E">
      <w:pPr>
        <w:widowControl w:val="0"/>
        <w:numPr>
          <w:ilvl w:val="0"/>
          <w:numId w:val="2"/>
        </w:numPr>
        <w:tabs>
          <w:tab w:val="num" w:pos="1080"/>
        </w:tabs>
        <w:spacing w:before="80" w:after="0" w:line="240" w:lineRule="auto"/>
        <w:ind w:left="1080" w:hanging="540"/>
        <w:jc w:val="left"/>
        <w:rPr>
          <w:rFonts w:eastAsia="Times New Roman" w:cs="Times New Roman"/>
          <w:sz w:val="22"/>
          <w:szCs w:val="20"/>
          <w:lang w:eastAsia="cs-CZ"/>
        </w:rPr>
      </w:pPr>
      <w:r w:rsidRPr="00F0698E">
        <w:rPr>
          <w:rFonts w:eastAsia="Times New Roman" w:cs="Times New Roman"/>
          <w:sz w:val="22"/>
          <w:szCs w:val="20"/>
          <w:lang w:eastAsia="cs-CZ"/>
        </w:rPr>
        <w:t>celková cena za revizní zkoušky ZZ</w:t>
      </w:r>
      <w:r w:rsidR="009237EE">
        <w:rPr>
          <w:rFonts w:eastAsia="Times New Roman" w:cs="Times New Roman"/>
          <w:sz w:val="22"/>
          <w:szCs w:val="20"/>
          <w:lang w:eastAsia="cs-CZ"/>
        </w:rPr>
        <w:t xml:space="preserve"> </w:t>
      </w:r>
      <w:r w:rsidR="00030C9C">
        <w:rPr>
          <w:rFonts w:eastAsia="Times New Roman" w:cs="Times New Roman"/>
          <w:sz w:val="22"/>
          <w:szCs w:val="20"/>
          <w:lang w:eastAsia="cs-CZ"/>
        </w:rPr>
        <w:t xml:space="preserve">dle </w:t>
      </w:r>
      <w:r w:rsidR="009237EE">
        <w:rPr>
          <w:rFonts w:eastAsia="Times New Roman" w:cs="Times New Roman"/>
          <w:sz w:val="22"/>
          <w:szCs w:val="20"/>
          <w:lang w:eastAsia="cs-CZ"/>
        </w:rPr>
        <w:t>Přílohy č. 3</w:t>
      </w:r>
      <w:r w:rsidR="00030C9C">
        <w:rPr>
          <w:rFonts w:eastAsia="Times New Roman" w:cs="Times New Roman"/>
          <w:sz w:val="22"/>
          <w:szCs w:val="20"/>
          <w:lang w:eastAsia="cs-CZ"/>
        </w:rPr>
        <w:t>,</w:t>
      </w:r>
    </w:p>
    <w:p w:rsidR="00F0698E" w:rsidRDefault="00030C9C" w:rsidP="00030C9C">
      <w:pPr>
        <w:widowControl w:val="0"/>
        <w:numPr>
          <w:ilvl w:val="0"/>
          <w:numId w:val="2"/>
        </w:numPr>
        <w:tabs>
          <w:tab w:val="num" w:pos="1080"/>
          <w:tab w:val="left" w:pos="1134"/>
        </w:tabs>
        <w:spacing w:before="80" w:after="0" w:line="240" w:lineRule="auto"/>
        <w:ind w:left="993" w:hanging="426"/>
        <w:jc w:val="left"/>
        <w:rPr>
          <w:rFonts w:eastAsia="Times New Roman" w:cs="Times New Roman"/>
          <w:sz w:val="22"/>
          <w:szCs w:val="20"/>
          <w:lang w:eastAsia="cs-CZ"/>
        </w:rPr>
      </w:pPr>
      <w:r>
        <w:rPr>
          <w:rFonts w:eastAsia="Times New Roman" w:cs="Times New Roman"/>
          <w:sz w:val="22"/>
          <w:szCs w:val="20"/>
          <w:lang w:eastAsia="cs-CZ"/>
        </w:rPr>
        <w:t xml:space="preserve">  </w:t>
      </w:r>
      <w:r w:rsidR="00F0698E" w:rsidRPr="00F0698E">
        <w:rPr>
          <w:rFonts w:eastAsia="Times New Roman" w:cs="Times New Roman"/>
          <w:sz w:val="22"/>
          <w:szCs w:val="20"/>
          <w:lang w:eastAsia="cs-CZ"/>
        </w:rPr>
        <w:t xml:space="preserve">celková cena </w:t>
      </w:r>
      <w:r>
        <w:rPr>
          <w:rFonts w:eastAsia="Times New Roman" w:cs="Times New Roman"/>
          <w:sz w:val="22"/>
          <w:szCs w:val="20"/>
          <w:lang w:eastAsia="cs-CZ"/>
        </w:rPr>
        <w:t>za</w:t>
      </w:r>
      <w:r w:rsidR="00F0698E" w:rsidRPr="00F0698E">
        <w:rPr>
          <w:rFonts w:eastAsia="Times New Roman" w:cs="Times New Roman"/>
          <w:sz w:val="22"/>
          <w:szCs w:val="20"/>
          <w:lang w:eastAsia="cs-CZ"/>
        </w:rPr>
        <w:t xml:space="preserve"> zkušební závaží</w:t>
      </w:r>
      <w:r>
        <w:rPr>
          <w:rFonts w:eastAsia="Times New Roman" w:cs="Times New Roman"/>
          <w:sz w:val="22"/>
          <w:szCs w:val="20"/>
          <w:lang w:eastAsia="cs-CZ"/>
        </w:rPr>
        <w:t>,</w:t>
      </w:r>
    </w:p>
    <w:p w:rsidR="00030C9C" w:rsidRPr="00F0698E" w:rsidRDefault="00030C9C" w:rsidP="00030C9C">
      <w:pPr>
        <w:widowControl w:val="0"/>
        <w:numPr>
          <w:ilvl w:val="0"/>
          <w:numId w:val="2"/>
        </w:numPr>
        <w:tabs>
          <w:tab w:val="num" w:pos="1080"/>
          <w:tab w:val="left" w:pos="1134"/>
        </w:tabs>
        <w:spacing w:before="80" w:after="0" w:line="240" w:lineRule="auto"/>
        <w:ind w:left="993" w:hanging="426"/>
        <w:jc w:val="left"/>
        <w:rPr>
          <w:rFonts w:eastAsia="Times New Roman" w:cs="Times New Roman"/>
          <w:sz w:val="22"/>
          <w:szCs w:val="20"/>
          <w:lang w:eastAsia="cs-CZ"/>
        </w:rPr>
      </w:pPr>
      <w:r>
        <w:rPr>
          <w:rFonts w:eastAsia="Times New Roman" w:cs="Times New Roman"/>
          <w:sz w:val="22"/>
          <w:szCs w:val="20"/>
          <w:lang w:eastAsia="cs-CZ"/>
        </w:rPr>
        <w:t xml:space="preserve">  celková cena za inspekci jeřábů dle Přílohy č. 3.</w:t>
      </w:r>
    </w:p>
    <w:p w:rsidR="00F0698E" w:rsidRPr="00F0698E" w:rsidRDefault="00F0698E" w:rsidP="00F0698E">
      <w:pPr>
        <w:widowControl w:val="0"/>
        <w:spacing w:before="80" w:after="0" w:line="240" w:lineRule="auto"/>
        <w:ind w:left="540"/>
        <w:rPr>
          <w:rFonts w:eastAsia="Times New Roman" w:cs="Times New Roman"/>
          <w:sz w:val="22"/>
          <w:szCs w:val="20"/>
          <w:lang w:eastAsia="cs-CZ"/>
        </w:rPr>
      </w:pPr>
    </w:p>
    <w:p w:rsidR="00F0698E" w:rsidRPr="00F0698E" w:rsidRDefault="00F0698E" w:rsidP="00F0698E">
      <w:pPr>
        <w:spacing w:after="0" w:line="240" w:lineRule="auto"/>
        <w:ind w:left="993" w:hanging="453"/>
        <w:rPr>
          <w:rFonts w:eastAsia="Times New Roman" w:cs="Times New Roman"/>
          <w:sz w:val="22"/>
          <w:szCs w:val="20"/>
          <w:lang w:eastAsia="cs-CZ"/>
        </w:rPr>
      </w:pPr>
      <w:r w:rsidRPr="00F0698E">
        <w:rPr>
          <w:rFonts w:eastAsia="Times New Roman" w:cs="Times New Roman"/>
          <w:sz w:val="22"/>
          <w:szCs w:val="20"/>
          <w:lang w:eastAsia="cs-CZ"/>
        </w:rPr>
        <w:t>Nabídková cena bude zpracována v podobě tabulky dle následujícího vzoru:</w:t>
      </w:r>
    </w:p>
    <w:tbl>
      <w:tblPr>
        <w:tblW w:w="765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51"/>
        <w:gridCol w:w="993"/>
        <w:gridCol w:w="992"/>
        <w:gridCol w:w="992"/>
        <w:gridCol w:w="992"/>
        <w:gridCol w:w="993"/>
        <w:gridCol w:w="992"/>
      </w:tblGrid>
      <w:tr w:rsidR="00030C9C" w:rsidRPr="00F0698E" w:rsidTr="00030C9C">
        <w:tc>
          <w:tcPr>
            <w:tcW w:w="851" w:type="dxa"/>
          </w:tcPr>
          <w:p w:rsidR="00030C9C" w:rsidRPr="00F0698E" w:rsidRDefault="00F0698E" w:rsidP="00F0698E">
            <w:pPr>
              <w:spacing w:before="80" w:after="0" w:line="240" w:lineRule="auto"/>
              <w:jc w:val="center"/>
              <w:rPr>
                <w:rFonts w:eastAsia="Times New Roman" w:cs="Times New Roman"/>
                <w:color w:val="000000"/>
                <w:sz w:val="22"/>
                <w:szCs w:val="20"/>
                <w:lang w:eastAsia="cs-CZ"/>
              </w:rPr>
            </w:pPr>
            <w:r w:rsidRPr="00F0698E">
              <w:rPr>
                <w:rFonts w:eastAsia="Times New Roman" w:cs="Times New Roman"/>
                <w:sz w:val="22"/>
                <w:szCs w:val="20"/>
                <w:lang w:eastAsia="cs-CZ"/>
              </w:rPr>
              <w:tab/>
            </w:r>
            <w:r w:rsidR="00030C9C" w:rsidRPr="00F0698E">
              <w:rPr>
                <w:rFonts w:eastAsia="Times New Roman" w:cs="Times New Roman"/>
                <w:color w:val="000000"/>
                <w:sz w:val="22"/>
                <w:szCs w:val="20"/>
                <w:lang w:eastAsia="cs-CZ"/>
              </w:rPr>
              <w:t>ZHS strojní práce</w:t>
            </w:r>
          </w:p>
        </w:tc>
        <w:tc>
          <w:tcPr>
            <w:tcW w:w="851" w:type="dxa"/>
          </w:tcPr>
          <w:p w:rsidR="00030C9C" w:rsidRPr="00F0698E" w:rsidRDefault="00030C9C" w:rsidP="00F0698E">
            <w:pPr>
              <w:spacing w:before="80" w:after="0" w:line="240" w:lineRule="auto"/>
              <w:jc w:val="center"/>
              <w:rPr>
                <w:rFonts w:eastAsia="Times New Roman" w:cs="Times New Roman"/>
                <w:color w:val="000000"/>
                <w:sz w:val="22"/>
                <w:szCs w:val="20"/>
                <w:lang w:eastAsia="cs-CZ"/>
              </w:rPr>
            </w:pPr>
            <w:r w:rsidRPr="00F0698E">
              <w:rPr>
                <w:rFonts w:eastAsia="Times New Roman" w:cs="Times New Roman"/>
                <w:color w:val="000000"/>
                <w:sz w:val="22"/>
                <w:szCs w:val="20"/>
                <w:lang w:eastAsia="cs-CZ"/>
              </w:rPr>
              <w:t>ZHS elektro práce</w:t>
            </w:r>
          </w:p>
        </w:tc>
        <w:tc>
          <w:tcPr>
            <w:tcW w:w="993" w:type="dxa"/>
          </w:tcPr>
          <w:p w:rsidR="00030C9C" w:rsidRPr="00F0698E" w:rsidRDefault="00030C9C" w:rsidP="00F0698E">
            <w:pPr>
              <w:spacing w:before="80" w:after="0" w:line="240" w:lineRule="auto"/>
              <w:jc w:val="center"/>
              <w:rPr>
                <w:rFonts w:eastAsia="Times New Roman" w:cs="Times New Roman"/>
                <w:color w:val="000000"/>
                <w:sz w:val="22"/>
                <w:szCs w:val="20"/>
                <w:lang w:eastAsia="cs-CZ"/>
              </w:rPr>
            </w:pPr>
            <w:r w:rsidRPr="00F0698E">
              <w:rPr>
                <w:rFonts w:eastAsia="Times New Roman" w:cs="Times New Roman"/>
                <w:color w:val="000000"/>
                <w:sz w:val="22"/>
                <w:szCs w:val="20"/>
                <w:lang w:eastAsia="cs-CZ"/>
              </w:rPr>
              <w:t>Cena za dopravu při opravách</w:t>
            </w:r>
          </w:p>
        </w:tc>
        <w:tc>
          <w:tcPr>
            <w:tcW w:w="992" w:type="dxa"/>
          </w:tcPr>
          <w:p w:rsidR="00030C9C" w:rsidRPr="00F0698E" w:rsidRDefault="00030C9C" w:rsidP="00F0698E">
            <w:pPr>
              <w:spacing w:before="80" w:after="0" w:line="240" w:lineRule="auto"/>
              <w:jc w:val="center"/>
              <w:rPr>
                <w:rFonts w:eastAsia="Times New Roman" w:cs="Times New Roman"/>
                <w:color w:val="000000"/>
                <w:sz w:val="22"/>
                <w:szCs w:val="20"/>
                <w:lang w:eastAsia="cs-CZ"/>
              </w:rPr>
            </w:pPr>
            <w:r w:rsidRPr="00F0698E">
              <w:rPr>
                <w:rFonts w:eastAsia="Times New Roman" w:cs="Times New Roman"/>
                <w:color w:val="000000"/>
                <w:sz w:val="22"/>
                <w:szCs w:val="20"/>
                <w:lang w:eastAsia="cs-CZ"/>
              </w:rPr>
              <w:t>Celková cena za běžnou údržbu</w:t>
            </w:r>
          </w:p>
        </w:tc>
        <w:tc>
          <w:tcPr>
            <w:tcW w:w="992" w:type="dxa"/>
          </w:tcPr>
          <w:p w:rsidR="00030C9C" w:rsidRPr="00F0698E" w:rsidRDefault="00030C9C" w:rsidP="00F0698E">
            <w:pPr>
              <w:spacing w:before="80" w:after="0" w:line="240" w:lineRule="auto"/>
              <w:jc w:val="center"/>
              <w:rPr>
                <w:rFonts w:eastAsia="Times New Roman" w:cs="Times New Roman"/>
                <w:color w:val="000000"/>
                <w:sz w:val="22"/>
                <w:szCs w:val="20"/>
                <w:lang w:eastAsia="cs-CZ"/>
              </w:rPr>
            </w:pPr>
            <w:r w:rsidRPr="00F0698E">
              <w:rPr>
                <w:rFonts w:eastAsia="Times New Roman" w:cs="Times New Roman"/>
                <w:color w:val="000000"/>
                <w:sz w:val="22"/>
                <w:szCs w:val="20"/>
                <w:lang w:eastAsia="cs-CZ"/>
              </w:rPr>
              <w:t>Celková cena za revize</w:t>
            </w:r>
          </w:p>
        </w:tc>
        <w:tc>
          <w:tcPr>
            <w:tcW w:w="992" w:type="dxa"/>
          </w:tcPr>
          <w:p w:rsidR="00030C9C" w:rsidRPr="00F0698E" w:rsidRDefault="00030C9C" w:rsidP="00F0698E">
            <w:pPr>
              <w:spacing w:before="80" w:after="0" w:line="240" w:lineRule="auto"/>
              <w:jc w:val="center"/>
              <w:rPr>
                <w:rFonts w:eastAsia="Times New Roman" w:cs="Times New Roman"/>
                <w:color w:val="000000"/>
                <w:sz w:val="22"/>
                <w:szCs w:val="20"/>
                <w:lang w:eastAsia="cs-CZ"/>
              </w:rPr>
            </w:pPr>
            <w:proofErr w:type="spellStart"/>
            <w:r w:rsidRPr="00F0698E">
              <w:rPr>
                <w:rFonts w:eastAsia="Times New Roman" w:cs="Times New Roman"/>
                <w:color w:val="000000"/>
                <w:sz w:val="22"/>
                <w:szCs w:val="20"/>
                <w:lang w:eastAsia="cs-CZ"/>
              </w:rPr>
              <w:t>Celk</w:t>
            </w:r>
            <w:proofErr w:type="spellEnd"/>
            <w:r w:rsidRPr="00F0698E">
              <w:rPr>
                <w:rFonts w:eastAsia="Times New Roman" w:cs="Times New Roman"/>
                <w:color w:val="000000"/>
                <w:sz w:val="22"/>
                <w:szCs w:val="20"/>
                <w:lang w:eastAsia="cs-CZ"/>
              </w:rPr>
              <w:t>. cena za revizní zkoušky</w:t>
            </w:r>
          </w:p>
        </w:tc>
        <w:tc>
          <w:tcPr>
            <w:tcW w:w="993" w:type="dxa"/>
          </w:tcPr>
          <w:p w:rsidR="00030C9C" w:rsidRPr="00F0698E" w:rsidRDefault="00030C9C" w:rsidP="00F0698E">
            <w:pPr>
              <w:spacing w:before="80" w:after="0" w:line="240" w:lineRule="auto"/>
              <w:jc w:val="center"/>
              <w:rPr>
                <w:rFonts w:eastAsia="Times New Roman" w:cs="Times New Roman"/>
                <w:color w:val="000000"/>
                <w:sz w:val="22"/>
                <w:szCs w:val="20"/>
                <w:lang w:eastAsia="cs-CZ"/>
              </w:rPr>
            </w:pPr>
            <w:proofErr w:type="spellStart"/>
            <w:r w:rsidRPr="00F0698E">
              <w:rPr>
                <w:rFonts w:eastAsia="Times New Roman" w:cs="Times New Roman"/>
                <w:color w:val="000000"/>
                <w:sz w:val="22"/>
                <w:szCs w:val="20"/>
                <w:lang w:eastAsia="cs-CZ"/>
              </w:rPr>
              <w:t>Celk</w:t>
            </w:r>
            <w:proofErr w:type="spellEnd"/>
            <w:r w:rsidRPr="00F0698E">
              <w:rPr>
                <w:rFonts w:eastAsia="Times New Roman" w:cs="Times New Roman"/>
                <w:color w:val="000000"/>
                <w:sz w:val="22"/>
                <w:szCs w:val="20"/>
                <w:lang w:eastAsia="cs-CZ"/>
              </w:rPr>
              <w:t xml:space="preserve">. cena </w:t>
            </w:r>
            <w:proofErr w:type="gramStart"/>
            <w:r w:rsidRPr="00F0698E">
              <w:rPr>
                <w:rFonts w:eastAsia="Times New Roman" w:cs="Times New Roman"/>
                <w:color w:val="000000"/>
                <w:sz w:val="22"/>
                <w:szCs w:val="20"/>
                <w:lang w:eastAsia="cs-CZ"/>
              </w:rPr>
              <w:t>za</w:t>
            </w:r>
            <w:proofErr w:type="gramEnd"/>
          </w:p>
          <w:p w:rsidR="00030C9C" w:rsidRPr="00F0698E" w:rsidRDefault="00030C9C" w:rsidP="00F0698E">
            <w:pPr>
              <w:spacing w:before="80" w:after="0" w:line="240" w:lineRule="auto"/>
              <w:jc w:val="center"/>
              <w:rPr>
                <w:rFonts w:eastAsia="Times New Roman" w:cs="Times New Roman"/>
                <w:color w:val="000000"/>
                <w:sz w:val="22"/>
                <w:szCs w:val="20"/>
                <w:lang w:eastAsia="cs-CZ"/>
              </w:rPr>
            </w:pPr>
            <w:r w:rsidRPr="00F0698E">
              <w:rPr>
                <w:rFonts w:eastAsia="Times New Roman" w:cs="Times New Roman"/>
                <w:color w:val="000000"/>
                <w:sz w:val="22"/>
                <w:szCs w:val="20"/>
                <w:lang w:eastAsia="cs-CZ"/>
              </w:rPr>
              <w:t>zkušební závaží</w:t>
            </w:r>
          </w:p>
        </w:tc>
        <w:tc>
          <w:tcPr>
            <w:tcW w:w="992" w:type="dxa"/>
          </w:tcPr>
          <w:p w:rsidR="00030C9C" w:rsidRPr="00F0698E" w:rsidRDefault="00030C9C" w:rsidP="00F0698E">
            <w:pPr>
              <w:spacing w:before="80" w:after="0" w:line="240" w:lineRule="auto"/>
              <w:jc w:val="center"/>
              <w:rPr>
                <w:rFonts w:eastAsia="Times New Roman" w:cs="Times New Roman"/>
                <w:color w:val="000000"/>
                <w:sz w:val="22"/>
                <w:szCs w:val="20"/>
                <w:lang w:eastAsia="cs-CZ"/>
              </w:rPr>
            </w:pPr>
            <w:proofErr w:type="spellStart"/>
            <w:r w:rsidRPr="00F0698E">
              <w:rPr>
                <w:rFonts w:eastAsia="Times New Roman" w:cs="Times New Roman"/>
                <w:color w:val="000000"/>
                <w:sz w:val="22"/>
                <w:szCs w:val="20"/>
                <w:lang w:eastAsia="cs-CZ"/>
              </w:rPr>
              <w:t>Celk</w:t>
            </w:r>
            <w:proofErr w:type="spellEnd"/>
            <w:r w:rsidRPr="00F0698E">
              <w:rPr>
                <w:rFonts w:eastAsia="Times New Roman" w:cs="Times New Roman"/>
                <w:color w:val="000000"/>
                <w:sz w:val="22"/>
                <w:szCs w:val="20"/>
                <w:lang w:eastAsia="cs-CZ"/>
              </w:rPr>
              <w:t>. cena za inspekce jeřábů</w:t>
            </w:r>
          </w:p>
        </w:tc>
      </w:tr>
      <w:tr w:rsidR="00030C9C" w:rsidRPr="00F0698E" w:rsidTr="00030C9C">
        <w:tc>
          <w:tcPr>
            <w:tcW w:w="851" w:type="dxa"/>
          </w:tcPr>
          <w:p w:rsidR="00030C9C" w:rsidRPr="00F0698E" w:rsidRDefault="00030C9C" w:rsidP="00F0698E">
            <w:pPr>
              <w:spacing w:before="80" w:after="0" w:line="240" w:lineRule="auto"/>
              <w:jc w:val="left"/>
              <w:rPr>
                <w:rFonts w:eastAsia="Times New Roman" w:cs="Times New Roman"/>
                <w:color w:val="000000"/>
                <w:sz w:val="22"/>
                <w:szCs w:val="20"/>
                <w:lang w:eastAsia="cs-CZ"/>
              </w:rPr>
            </w:pPr>
          </w:p>
        </w:tc>
        <w:tc>
          <w:tcPr>
            <w:tcW w:w="851" w:type="dxa"/>
          </w:tcPr>
          <w:p w:rsidR="00030C9C" w:rsidRPr="00F0698E" w:rsidRDefault="00030C9C" w:rsidP="00F0698E">
            <w:pPr>
              <w:spacing w:before="80" w:after="0" w:line="240" w:lineRule="auto"/>
              <w:jc w:val="left"/>
              <w:rPr>
                <w:rFonts w:eastAsia="Times New Roman" w:cs="Times New Roman"/>
                <w:color w:val="000000"/>
                <w:sz w:val="22"/>
                <w:szCs w:val="20"/>
                <w:lang w:eastAsia="cs-CZ"/>
              </w:rPr>
            </w:pPr>
          </w:p>
        </w:tc>
        <w:tc>
          <w:tcPr>
            <w:tcW w:w="993" w:type="dxa"/>
          </w:tcPr>
          <w:p w:rsidR="00030C9C" w:rsidRPr="00F0698E" w:rsidRDefault="00030C9C" w:rsidP="00F0698E">
            <w:pPr>
              <w:spacing w:before="80" w:after="0" w:line="240" w:lineRule="auto"/>
              <w:jc w:val="left"/>
              <w:rPr>
                <w:rFonts w:eastAsia="Times New Roman" w:cs="Times New Roman"/>
                <w:color w:val="000000"/>
                <w:sz w:val="22"/>
                <w:szCs w:val="20"/>
                <w:lang w:eastAsia="cs-CZ"/>
              </w:rPr>
            </w:pPr>
          </w:p>
        </w:tc>
        <w:tc>
          <w:tcPr>
            <w:tcW w:w="992" w:type="dxa"/>
          </w:tcPr>
          <w:p w:rsidR="00030C9C" w:rsidRPr="00F0698E" w:rsidRDefault="00030C9C" w:rsidP="00F0698E">
            <w:pPr>
              <w:spacing w:before="80" w:after="0" w:line="240" w:lineRule="auto"/>
              <w:jc w:val="left"/>
              <w:rPr>
                <w:rFonts w:eastAsia="Times New Roman" w:cs="Times New Roman"/>
                <w:color w:val="000000"/>
                <w:sz w:val="22"/>
                <w:szCs w:val="20"/>
                <w:lang w:eastAsia="cs-CZ"/>
              </w:rPr>
            </w:pPr>
          </w:p>
        </w:tc>
        <w:tc>
          <w:tcPr>
            <w:tcW w:w="992" w:type="dxa"/>
          </w:tcPr>
          <w:p w:rsidR="00030C9C" w:rsidRPr="00F0698E" w:rsidRDefault="00030C9C" w:rsidP="00F0698E">
            <w:pPr>
              <w:spacing w:before="80" w:after="0" w:line="240" w:lineRule="auto"/>
              <w:jc w:val="left"/>
              <w:rPr>
                <w:rFonts w:eastAsia="Times New Roman" w:cs="Times New Roman"/>
                <w:color w:val="000000"/>
                <w:sz w:val="22"/>
                <w:szCs w:val="20"/>
                <w:lang w:eastAsia="cs-CZ"/>
              </w:rPr>
            </w:pPr>
          </w:p>
        </w:tc>
        <w:tc>
          <w:tcPr>
            <w:tcW w:w="992" w:type="dxa"/>
          </w:tcPr>
          <w:p w:rsidR="00030C9C" w:rsidRPr="00F0698E" w:rsidRDefault="00030C9C" w:rsidP="00F0698E">
            <w:pPr>
              <w:spacing w:before="80" w:after="0" w:line="240" w:lineRule="auto"/>
              <w:jc w:val="left"/>
              <w:rPr>
                <w:rFonts w:eastAsia="Times New Roman" w:cs="Times New Roman"/>
                <w:color w:val="000000"/>
                <w:sz w:val="22"/>
                <w:szCs w:val="20"/>
                <w:lang w:eastAsia="cs-CZ"/>
              </w:rPr>
            </w:pPr>
          </w:p>
        </w:tc>
        <w:tc>
          <w:tcPr>
            <w:tcW w:w="993" w:type="dxa"/>
          </w:tcPr>
          <w:p w:rsidR="00030C9C" w:rsidRPr="00F0698E" w:rsidRDefault="00030C9C" w:rsidP="00F0698E">
            <w:pPr>
              <w:spacing w:before="80" w:after="0" w:line="240" w:lineRule="auto"/>
              <w:jc w:val="left"/>
              <w:rPr>
                <w:rFonts w:eastAsia="Times New Roman" w:cs="Times New Roman"/>
                <w:color w:val="000000"/>
                <w:sz w:val="22"/>
                <w:szCs w:val="20"/>
                <w:lang w:eastAsia="cs-CZ"/>
              </w:rPr>
            </w:pPr>
          </w:p>
        </w:tc>
        <w:tc>
          <w:tcPr>
            <w:tcW w:w="992" w:type="dxa"/>
          </w:tcPr>
          <w:p w:rsidR="00030C9C" w:rsidRPr="00F0698E" w:rsidRDefault="00030C9C" w:rsidP="00F0698E">
            <w:pPr>
              <w:spacing w:before="80" w:after="0" w:line="240" w:lineRule="auto"/>
              <w:jc w:val="left"/>
              <w:rPr>
                <w:rFonts w:eastAsia="Times New Roman" w:cs="Times New Roman"/>
                <w:color w:val="000000"/>
                <w:sz w:val="22"/>
                <w:szCs w:val="20"/>
                <w:lang w:eastAsia="cs-CZ"/>
              </w:rPr>
            </w:pPr>
          </w:p>
        </w:tc>
      </w:tr>
    </w:tbl>
    <w:p w:rsidR="00F0698E" w:rsidRDefault="00F0698E" w:rsidP="005D6AF2">
      <w:pPr>
        <w:jc w:val="left"/>
      </w:pPr>
    </w:p>
    <w:sectPr w:rsidR="00F069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3E83"/>
    <w:multiLevelType w:val="multilevel"/>
    <w:tmpl w:val="B948738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
    <w:nsid w:val="11436542"/>
    <w:multiLevelType w:val="multilevel"/>
    <w:tmpl w:val="CDC8EB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D4E2997"/>
    <w:multiLevelType w:val="hybridMultilevel"/>
    <w:tmpl w:val="6F708DA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3094B5F"/>
    <w:multiLevelType w:val="hybridMultilevel"/>
    <w:tmpl w:val="65920B3E"/>
    <w:lvl w:ilvl="0" w:tplc="300E0A44">
      <w:numFmt w:val="bullet"/>
      <w:lvlText w:val="-"/>
      <w:lvlJc w:val="left"/>
      <w:pPr>
        <w:tabs>
          <w:tab w:val="num" w:pos="1429"/>
        </w:tabs>
        <w:ind w:left="1429" w:hanging="360"/>
      </w:pPr>
      <w:rPr>
        <w:rFonts w:ascii="Times New Roman" w:eastAsia="Times New Roman" w:hAnsi="Times New Roman" w:cs="Times New Roman" w:hint="default"/>
      </w:rPr>
    </w:lvl>
    <w:lvl w:ilvl="1" w:tplc="04050003">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4">
    <w:nsid w:val="643B09AA"/>
    <w:multiLevelType w:val="hybridMultilevel"/>
    <w:tmpl w:val="E06E6D2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nsid w:val="676131F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F3E31E3"/>
    <w:multiLevelType w:val="hybridMultilevel"/>
    <w:tmpl w:val="086C63F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3D6"/>
    <w:rsid w:val="00030C9C"/>
    <w:rsid w:val="00147F60"/>
    <w:rsid w:val="001E6EAC"/>
    <w:rsid w:val="002623D6"/>
    <w:rsid w:val="003610DD"/>
    <w:rsid w:val="004943A6"/>
    <w:rsid w:val="004A3A93"/>
    <w:rsid w:val="004C706D"/>
    <w:rsid w:val="00507D43"/>
    <w:rsid w:val="0051300F"/>
    <w:rsid w:val="00526976"/>
    <w:rsid w:val="005D6AF2"/>
    <w:rsid w:val="00663C15"/>
    <w:rsid w:val="00714A4C"/>
    <w:rsid w:val="0082408B"/>
    <w:rsid w:val="009237EE"/>
    <w:rsid w:val="00A00263"/>
    <w:rsid w:val="00A3766F"/>
    <w:rsid w:val="00A505F7"/>
    <w:rsid w:val="00A958F8"/>
    <w:rsid w:val="00B31FF9"/>
    <w:rsid w:val="00C71EA9"/>
    <w:rsid w:val="00D57453"/>
    <w:rsid w:val="00D74007"/>
    <w:rsid w:val="00E01643"/>
    <w:rsid w:val="00E1113D"/>
    <w:rsid w:val="00EC7BFA"/>
    <w:rsid w:val="00F069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3A93"/>
    <w:pPr>
      <w:jc w:val="both"/>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14A4C"/>
    <w:rPr>
      <w:color w:val="0000FF" w:themeColor="hyperlink"/>
      <w:u w:val="single"/>
    </w:rPr>
  </w:style>
  <w:style w:type="paragraph" w:styleId="Odstavecseseznamem">
    <w:name w:val="List Paragraph"/>
    <w:basedOn w:val="Normln"/>
    <w:uiPriority w:val="34"/>
    <w:qFormat/>
    <w:rsid w:val="00A002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3A93"/>
    <w:pPr>
      <w:jc w:val="both"/>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14A4C"/>
    <w:rPr>
      <w:color w:val="0000FF" w:themeColor="hyperlink"/>
      <w:u w:val="single"/>
    </w:rPr>
  </w:style>
  <w:style w:type="paragraph" w:styleId="Odstavecseseznamem">
    <w:name w:val="List Paragraph"/>
    <w:basedOn w:val="Normln"/>
    <w:uiPriority w:val="34"/>
    <w:qFormat/>
    <w:rsid w:val="00A00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781</Words>
  <Characters>4614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United Energy, a.s.</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Solař Jaroslav</dc:creator>
  <cp:lastModifiedBy>Tvrdík Tomáš</cp:lastModifiedBy>
  <cp:revision>3</cp:revision>
  <cp:lastPrinted>2014-06-10T12:44:00Z</cp:lastPrinted>
  <dcterms:created xsi:type="dcterms:W3CDTF">2014-06-10T13:11:00Z</dcterms:created>
  <dcterms:modified xsi:type="dcterms:W3CDTF">2014-06-11T08:36:00Z</dcterms:modified>
</cp:coreProperties>
</file>