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3F" w:rsidRDefault="00E6473F" w:rsidP="00E6473F">
      <w:pPr>
        <w:widowControl w:val="0"/>
        <w:spacing w:before="80"/>
        <w:ind w:left="709" w:hanging="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proofErr w:type="gramStart"/>
      <w:r>
        <w:rPr>
          <w:b/>
          <w:sz w:val="24"/>
          <w:szCs w:val="24"/>
        </w:rPr>
        <w:t>č.1</w:t>
      </w:r>
      <w:proofErr w:type="gramEnd"/>
      <w:r w:rsidRPr="00E345A8">
        <w:rPr>
          <w:b/>
          <w:sz w:val="24"/>
          <w:szCs w:val="24"/>
        </w:rPr>
        <w:tab/>
      </w:r>
    </w:p>
    <w:p w:rsidR="00E6473F" w:rsidRDefault="00E6473F" w:rsidP="00E6473F">
      <w:pPr>
        <w:widowControl w:val="0"/>
        <w:spacing w:before="80"/>
        <w:ind w:left="709" w:hanging="425"/>
        <w:rPr>
          <w:b/>
          <w:sz w:val="24"/>
          <w:szCs w:val="24"/>
        </w:rPr>
      </w:pPr>
    </w:p>
    <w:p w:rsidR="00E6473F" w:rsidRPr="00E345A8" w:rsidRDefault="00E6473F" w:rsidP="00E6473F">
      <w:pPr>
        <w:widowControl w:val="0"/>
        <w:spacing w:before="80"/>
        <w:rPr>
          <w:sz w:val="24"/>
          <w:szCs w:val="24"/>
        </w:rPr>
      </w:pPr>
      <w:r w:rsidRPr="00E345A8">
        <w:rPr>
          <w:b/>
          <w:sz w:val="24"/>
          <w:szCs w:val="24"/>
        </w:rPr>
        <w:t xml:space="preserve">Předmětem poptávky je </w:t>
      </w:r>
      <w:r w:rsidRPr="00E345A8">
        <w:rPr>
          <w:sz w:val="24"/>
          <w:szCs w:val="24"/>
        </w:rPr>
        <w:t>Zpracování komplexní prováděcí (realizační) dokumentace pro účely realizace díla (stavby)</w:t>
      </w:r>
    </w:p>
    <w:p w:rsidR="00E6473F" w:rsidRPr="00E345A8" w:rsidRDefault="00E6473F" w:rsidP="00E6473F">
      <w:pPr>
        <w:pStyle w:val="Nadpis3"/>
        <w:spacing w:before="80"/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bCs/>
          <w:szCs w:val="24"/>
        </w:rPr>
        <w:t>1</w:t>
      </w:r>
      <w:r w:rsidRPr="00E345A8">
        <w:rPr>
          <w:rFonts w:ascii="Times New Roman" w:hAnsi="Times New Roman"/>
          <w:b w:val="0"/>
          <w:bCs/>
          <w:szCs w:val="24"/>
        </w:rPr>
        <w:t>.</w:t>
      </w:r>
      <w:r>
        <w:rPr>
          <w:rFonts w:ascii="Times New Roman" w:hAnsi="Times New Roman"/>
          <w:b w:val="0"/>
          <w:bCs/>
          <w:szCs w:val="24"/>
        </w:rPr>
        <w:t>1</w:t>
      </w:r>
      <w:r w:rsidRPr="00E345A8">
        <w:rPr>
          <w:rFonts w:ascii="Times New Roman" w:hAnsi="Times New Roman"/>
          <w:b w:val="0"/>
          <w:bCs/>
          <w:szCs w:val="24"/>
        </w:rPr>
        <w:t xml:space="preserve"> </w:t>
      </w:r>
      <w:r w:rsidRPr="00E345A8">
        <w:rPr>
          <w:rFonts w:ascii="Times New Roman" w:hAnsi="Times New Roman"/>
          <w:b w:val="0"/>
          <w:bCs/>
          <w:szCs w:val="24"/>
        </w:rPr>
        <w:tab/>
      </w:r>
      <w:r w:rsidRPr="00E345A8">
        <w:rPr>
          <w:rFonts w:ascii="Times New Roman" w:hAnsi="Times New Roman"/>
          <w:szCs w:val="24"/>
        </w:rPr>
        <w:t>Současný stav</w:t>
      </w:r>
    </w:p>
    <w:p w:rsidR="00E6473F" w:rsidRDefault="00E6473F" w:rsidP="00E6473F">
      <w:pPr>
        <w:pStyle w:val="Zkladntext"/>
        <w:tabs>
          <w:tab w:val="left" w:pos="709"/>
        </w:tabs>
        <w:spacing w:before="80"/>
        <w:ind w:left="709"/>
        <w:jc w:val="both"/>
        <w:rPr>
          <w:sz w:val="24"/>
        </w:rPr>
      </w:pPr>
      <w:r w:rsidRPr="00E345A8">
        <w:rPr>
          <w:b w:val="0"/>
          <w:sz w:val="24"/>
          <w:szCs w:val="24"/>
        </w:rPr>
        <w:t>Teplárna Komořany disponuje deseti parními stacionárními fluidními kotli. Kotelna je historicky rozdělena na Komořany I (dále jen TKY I</w:t>
      </w:r>
      <w:r>
        <w:rPr>
          <w:b w:val="0"/>
          <w:sz w:val="24"/>
          <w:szCs w:val="24"/>
        </w:rPr>
        <w:t xml:space="preserve"> kotle K 1 – K 5</w:t>
      </w:r>
      <w:r w:rsidRPr="00E345A8">
        <w:rPr>
          <w:b w:val="0"/>
          <w:sz w:val="24"/>
          <w:szCs w:val="24"/>
        </w:rPr>
        <w:t>) a Komořany II (dále jen TKY II</w:t>
      </w:r>
      <w:r>
        <w:rPr>
          <w:b w:val="0"/>
          <w:sz w:val="24"/>
          <w:szCs w:val="24"/>
        </w:rPr>
        <w:t xml:space="preserve"> kotle K 6 – K 10</w:t>
      </w:r>
      <w:r w:rsidRPr="00E345A8">
        <w:rPr>
          <w:b w:val="0"/>
          <w:sz w:val="24"/>
          <w:szCs w:val="24"/>
        </w:rPr>
        <w:t xml:space="preserve">). </w:t>
      </w:r>
      <w:r w:rsidRPr="00E345A8">
        <w:rPr>
          <w:b w:val="0"/>
          <w:sz w:val="24"/>
        </w:rPr>
        <w:tab/>
      </w:r>
      <w:r>
        <w:rPr>
          <w:sz w:val="24"/>
        </w:rPr>
        <w:tab/>
      </w:r>
    </w:p>
    <w:p w:rsidR="00E6473F" w:rsidRDefault="00E6473F" w:rsidP="00E6473F">
      <w:pPr>
        <w:pStyle w:val="Zkladntext"/>
        <w:tabs>
          <w:tab w:val="left" w:pos="709"/>
        </w:tabs>
        <w:spacing w:before="80"/>
        <w:ind w:left="709"/>
        <w:jc w:val="both"/>
        <w:rPr>
          <w:b w:val="0"/>
          <w:bCs/>
          <w:sz w:val="24"/>
        </w:rPr>
      </w:pPr>
      <w:r>
        <w:rPr>
          <w:sz w:val="24"/>
        </w:rPr>
        <w:t xml:space="preserve">Provozní parametry kotle </w:t>
      </w:r>
    </w:p>
    <w:p w:rsidR="00E6473F" w:rsidRDefault="00E6473F" w:rsidP="00E6473F">
      <w:pPr>
        <w:tabs>
          <w:tab w:val="left" w:pos="426"/>
          <w:tab w:val="num" w:pos="709"/>
        </w:tabs>
        <w:spacing w:before="80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color w:val="000000"/>
          <w:sz w:val="24"/>
        </w:rPr>
        <w:t xml:space="preserve">Kotel K 6 – K 10 jsou fluidní kotle se stacionárním ložem o výkonu 154 t/hod páry, tlaku 7,7-7,8 </w:t>
      </w:r>
      <w:proofErr w:type="spellStart"/>
      <w:r>
        <w:rPr>
          <w:color w:val="000000"/>
          <w:sz w:val="24"/>
        </w:rPr>
        <w:t>MPa</w:t>
      </w:r>
      <w:proofErr w:type="spellEnd"/>
      <w:r>
        <w:rPr>
          <w:color w:val="000000"/>
          <w:sz w:val="24"/>
        </w:rPr>
        <w:t xml:space="preserve"> a teplotě </w:t>
      </w:r>
      <w:smartTag w:uri="urn:schemas-microsoft-com:office:smarttags" w:element="metricconverter">
        <w:smartTagPr>
          <w:attr w:name="ProductID" w:val="500 ﾰC"/>
        </w:smartTagPr>
        <w:r>
          <w:rPr>
            <w:color w:val="000000"/>
            <w:sz w:val="24"/>
          </w:rPr>
          <w:t>500 °C</w:t>
        </w:r>
      </w:smartTag>
      <w:r>
        <w:rPr>
          <w:color w:val="000000"/>
          <w:sz w:val="24"/>
        </w:rPr>
        <w:t>.</w:t>
      </w:r>
    </w:p>
    <w:p w:rsidR="00E6473F" w:rsidRPr="00E345A8" w:rsidRDefault="00E6473F" w:rsidP="00E6473F">
      <w:pPr>
        <w:spacing w:before="80"/>
        <w:ind w:left="709"/>
        <w:jc w:val="both"/>
        <w:rPr>
          <w:sz w:val="24"/>
          <w:szCs w:val="24"/>
        </w:rPr>
      </w:pPr>
      <w:r w:rsidRPr="00E345A8">
        <w:rPr>
          <w:sz w:val="24"/>
          <w:szCs w:val="24"/>
        </w:rPr>
        <w:t>Kotle kotelny TKY II se historicky potýkají s trvalým poklesem nucených průtoku (změnou cirkulačního čísla) kotle na cirkulačním okruhu. Primární identifikace poklesu je indikována na rozdílu tlaků mezi přírubami čerpadla. Dále je pokles identifikovaný na tlakovém rozdílu a posunu pracovního bodu, zatížení motoru a měřením průtoku průtokoměrem.</w:t>
      </w:r>
    </w:p>
    <w:p w:rsidR="00E6473F" w:rsidRPr="00E345A8" w:rsidRDefault="00E6473F" w:rsidP="00E6473F">
      <w:pPr>
        <w:spacing w:before="80"/>
        <w:ind w:left="709"/>
        <w:jc w:val="both"/>
        <w:rPr>
          <w:sz w:val="24"/>
          <w:szCs w:val="24"/>
        </w:rPr>
      </w:pPr>
      <w:r w:rsidRPr="00E345A8">
        <w:rPr>
          <w:sz w:val="24"/>
          <w:szCs w:val="24"/>
        </w:rPr>
        <w:t>Cirkulační okruh se sestává ze dvou čerpadel KSB (</w:t>
      </w:r>
      <w:proofErr w:type="spellStart"/>
      <w:r w:rsidRPr="00E345A8">
        <w:rPr>
          <w:sz w:val="24"/>
          <w:szCs w:val="24"/>
        </w:rPr>
        <w:t>HPHx</w:t>
      </w:r>
      <w:proofErr w:type="spellEnd"/>
      <w:r w:rsidRPr="00E345A8">
        <w:rPr>
          <w:sz w:val="24"/>
          <w:szCs w:val="24"/>
        </w:rPr>
        <w:t xml:space="preserve"> 200-501) s nominálním bodem Q = 516</w:t>
      </w:r>
      <w:r>
        <w:rPr>
          <w:sz w:val="24"/>
          <w:szCs w:val="24"/>
        </w:rPr>
        <w:t>,</w:t>
      </w:r>
      <w:r w:rsidRPr="00E345A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345A8">
        <w:rPr>
          <w:sz w:val="24"/>
          <w:szCs w:val="24"/>
        </w:rPr>
        <w:t>m</w:t>
      </w:r>
      <w:r w:rsidRPr="00E345A8">
        <w:rPr>
          <w:sz w:val="24"/>
          <w:szCs w:val="24"/>
          <w:vertAlign w:val="superscript"/>
        </w:rPr>
        <w:t>3</w:t>
      </w:r>
      <w:r w:rsidRPr="00E345A8">
        <w:rPr>
          <w:sz w:val="24"/>
          <w:szCs w:val="24"/>
        </w:rPr>
        <w:t>/h a H = 74</w:t>
      </w:r>
      <w:r>
        <w:rPr>
          <w:sz w:val="24"/>
          <w:szCs w:val="24"/>
        </w:rPr>
        <w:t>,</w:t>
      </w:r>
      <w:r w:rsidRPr="00E345A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345A8">
        <w:rPr>
          <w:sz w:val="24"/>
          <w:szCs w:val="24"/>
        </w:rPr>
        <w:t>m. Zapojení čerpadel je paralelní. Původní návrh provozního režimu je – jedno čerpadlo v provozu, druhé rezerva. Současný stav je – provoz obou v paralelním chodu.</w:t>
      </w:r>
    </w:p>
    <w:p w:rsidR="00E6473F" w:rsidRPr="00E345A8" w:rsidRDefault="00E6473F" w:rsidP="00E6473F">
      <w:pPr>
        <w:pStyle w:val="Nadpis3"/>
        <w:spacing w:before="80"/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E345A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Pr="00E345A8">
        <w:rPr>
          <w:rFonts w:ascii="Times New Roman" w:hAnsi="Times New Roman"/>
          <w:szCs w:val="24"/>
        </w:rPr>
        <w:tab/>
        <w:t>Motivační faktory</w:t>
      </w:r>
    </w:p>
    <w:p w:rsidR="00E6473F" w:rsidRPr="00E345A8" w:rsidRDefault="00E6473F" w:rsidP="00E6473F">
      <w:pPr>
        <w:spacing w:before="80"/>
        <w:ind w:left="709"/>
        <w:jc w:val="both"/>
        <w:rPr>
          <w:sz w:val="24"/>
          <w:szCs w:val="24"/>
        </w:rPr>
      </w:pPr>
      <w:r w:rsidRPr="00E345A8">
        <w:rPr>
          <w:sz w:val="24"/>
          <w:szCs w:val="24"/>
        </w:rPr>
        <w:t>Motivační</w:t>
      </w:r>
      <w:r>
        <w:rPr>
          <w:sz w:val="24"/>
          <w:szCs w:val="24"/>
        </w:rPr>
        <w:t>m</w:t>
      </w:r>
      <w:r w:rsidRPr="00E345A8">
        <w:rPr>
          <w:sz w:val="24"/>
          <w:szCs w:val="24"/>
        </w:rPr>
        <w:t xml:space="preserve"> faktorem je ekonomické a bezpečné řešení stavu cirkulačního okruhu, který lze v současnosti specifikovat jako havarijní. Při provozu dochází k </w:t>
      </w:r>
      <w:proofErr w:type="spellStart"/>
      <w:r w:rsidRPr="00E345A8">
        <w:rPr>
          <w:sz w:val="24"/>
          <w:szCs w:val="24"/>
        </w:rPr>
        <w:t>podkročování</w:t>
      </w:r>
      <w:proofErr w:type="spellEnd"/>
      <w:r w:rsidRPr="00E345A8">
        <w:rPr>
          <w:sz w:val="24"/>
          <w:szCs w:val="24"/>
        </w:rPr>
        <w:t xml:space="preserve"> limitních hodnot průtoku cirkulačního okruhu daných výrobcem a praxí.</w:t>
      </w:r>
    </w:p>
    <w:p w:rsidR="00E6473F" w:rsidRPr="00E345A8" w:rsidRDefault="00E6473F" w:rsidP="00E6473F">
      <w:pPr>
        <w:spacing w:before="80"/>
        <w:ind w:left="709"/>
        <w:jc w:val="both"/>
        <w:rPr>
          <w:sz w:val="24"/>
          <w:szCs w:val="24"/>
        </w:rPr>
      </w:pPr>
      <w:r w:rsidRPr="00E345A8">
        <w:rPr>
          <w:sz w:val="24"/>
          <w:szCs w:val="24"/>
        </w:rPr>
        <w:t>Cílem je zajištění dostatečného průtoku média cirkulační</w:t>
      </w:r>
      <w:r>
        <w:rPr>
          <w:sz w:val="24"/>
          <w:szCs w:val="24"/>
        </w:rPr>
        <w:t>m</w:t>
      </w:r>
      <w:r w:rsidRPr="00E345A8">
        <w:rPr>
          <w:sz w:val="24"/>
          <w:szCs w:val="24"/>
        </w:rPr>
        <w:t xml:space="preserve"> okruh</w:t>
      </w:r>
      <w:r>
        <w:rPr>
          <w:sz w:val="24"/>
          <w:szCs w:val="24"/>
        </w:rPr>
        <w:t>em</w:t>
      </w:r>
      <w:r w:rsidRPr="00E345A8">
        <w:rPr>
          <w:sz w:val="24"/>
          <w:szCs w:val="24"/>
        </w:rPr>
        <w:t xml:space="preserve"> s nižší citlivostí na změny odporu cirkulačního okruhu při zachování bezpečného provozu kotle. </w:t>
      </w:r>
    </w:p>
    <w:p w:rsidR="00E6473F" w:rsidRPr="00E345A8" w:rsidRDefault="00E6473F" w:rsidP="00E6473F">
      <w:pPr>
        <w:spacing w:before="80"/>
        <w:jc w:val="both"/>
        <w:rPr>
          <w:sz w:val="24"/>
          <w:szCs w:val="24"/>
        </w:rPr>
      </w:pPr>
    </w:p>
    <w:p w:rsidR="00E6473F" w:rsidRPr="00E345A8" w:rsidRDefault="00E6473F" w:rsidP="00E6473F">
      <w:pPr>
        <w:pStyle w:val="Nadpis3"/>
        <w:spacing w:before="80"/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E345A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E345A8">
        <w:rPr>
          <w:rFonts w:ascii="Times New Roman" w:hAnsi="Times New Roman"/>
          <w:szCs w:val="24"/>
        </w:rPr>
        <w:tab/>
        <w:t>Předmět poptávky</w:t>
      </w:r>
    </w:p>
    <w:p w:rsidR="00E6473F" w:rsidRPr="00E345A8" w:rsidRDefault="00E6473F" w:rsidP="00E6473F">
      <w:pPr>
        <w:pStyle w:val="Odstavecseseznamem"/>
        <w:numPr>
          <w:ilvl w:val="0"/>
          <w:numId w:val="2"/>
        </w:numPr>
        <w:spacing w:before="8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Zpracování komplexní prováděcí (realizační) dokumentace pro účely realizace díla (stavby), do úrovně a hloubky, kterou vyžaduje zákon č.183/2006 Sb. (Stavební zákon), novela 350/2012 a prováděcí předpisy k němu vydané (zejména vyhláška č. 499/2006 Sb., o dokumentaci staveb). </w:t>
      </w:r>
    </w:p>
    <w:p w:rsidR="00E6473F" w:rsidRPr="00E345A8" w:rsidRDefault="00E6473F" w:rsidP="00E6473F">
      <w:pPr>
        <w:pStyle w:val="Odstavecseseznamem"/>
        <w:numPr>
          <w:ilvl w:val="0"/>
          <w:numId w:val="2"/>
        </w:numPr>
        <w:spacing w:before="8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Projektová dokumentace, poskytne zřejmou informaci o rozsahu, způsobu a požadavcích provedení technického řešení </w:t>
      </w:r>
      <w:r w:rsidRPr="00E345A8">
        <w:rPr>
          <w:rFonts w:ascii="Times New Roman" w:hAnsi="Times New Roman"/>
          <w:b/>
          <w:sz w:val="24"/>
          <w:szCs w:val="24"/>
        </w:rPr>
        <w:t>sériového zapojení stávajících čerpadel cirkulačního okruhu</w:t>
      </w:r>
      <w:r w:rsidRPr="00E345A8">
        <w:rPr>
          <w:rFonts w:ascii="Times New Roman" w:hAnsi="Times New Roman"/>
          <w:sz w:val="24"/>
          <w:szCs w:val="24"/>
        </w:rPr>
        <w:t>. Dokumentace bude vypracována pro 5 kotlů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5A8">
        <w:rPr>
          <w:rFonts w:ascii="Times New Roman" w:hAnsi="Times New Roman"/>
          <w:sz w:val="24"/>
          <w:szCs w:val="24"/>
        </w:rPr>
        <w:t>6 až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5A8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Uchazeč</w:t>
      </w:r>
      <w:r w:rsidRPr="00E345A8">
        <w:rPr>
          <w:rFonts w:ascii="Times New Roman" w:hAnsi="Times New Roman"/>
          <w:sz w:val="24"/>
          <w:szCs w:val="24"/>
        </w:rPr>
        <w:t xml:space="preserve"> musí zvlášť pečlivě a s maximální odborností řešit: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Potrubní propojení obou čerpadel, ochranu proti zpětnému proudění, regulovatelnost, tlakovou odolnost čerpadel a cirkulačního okruhu.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Způsob a požadavky </w:t>
      </w:r>
      <w:proofErr w:type="spellStart"/>
      <w:r w:rsidRPr="00E345A8">
        <w:rPr>
          <w:rFonts w:ascii="Times New Roman" w:hAnsi="Times New Roman"/>
          <w:sz w:val="24"/>
          <w:szCs w:val="24"/>
        </w:rPr>
        <w:t>najížďění</w:t>
      </w:r>
      <w:proofErr w:type="spellEnd"/>
      <w:r w:rsidRPr="00E345A8">
        <w:rPr>
          <w:rFonts w:ascii="Times New Roman" w:hAnsi="Times New Roman"/>
          <w:sz w:val="24"/>
          <w:szCs w:val="24"/>
        </w:rPr>
        <w:t xml:space="preserve"> sestavy čerpadel z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5A8">
        <w:rPr>
          <w:rFonts w:ascii="Times New Roman" w:hAnsi="Times New Roman"/>
          <w:sz w:val="24"/>
          <w:szCs w:val="24"/>
        </w:rPr>
        <w:t xml:space="preserve">teplého a studeného stavu. Způsob a požadavky odstavení a dalších běžných provozních režimů. Zajištění bezpečného a trvanlivého chodu na straně </w:t>
      </w:r>
      <w:proofErr w:type="gramStart"/>
      <w:r w:rsidRPr="00E345A8">
        <w:rPr>
          <w:rFonts w:ascii="Times New Roman" w:hAnsi="Times New Roman"/>
          <w:sz w:val="24"/>
          <w:szCs w:val="24"/>
        </w:rPr>
        <w:t xml:space="preserve">strojní 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5A8">
        <w:rPr>
          <w:rFonts w:ascii="Times New Roman" w:hAnsi="Times New Roman"/>
          <w:sz w:val="24"/>
          <w:szCs w:val="24"/>
        </w:rPr>
        <w:t>elektro</w:t>
      </w:r>
      <w:proofErr w:type="gramEnd"/>
      <w:r w:rsidRPr="00E345A8">
        <w:rPr>
          <w:rFonts w:ascii="Times New Roman" w:hAnsi="Times New Roman"/>
          <w:sz w:val="24"/>
          <w:szCs w:val="24"/>
        </w:rPr>
        <w:t>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Parametry strojní části tj. potrubí, armatury, ventily. Nedílným požadavkem zadavatele je specifikace rozměrů potrubí, izolací, dimenze a charakteristika armatur atd. 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lastRenderedPageBreak/>
        <w:t>Zhodnocení veškerých tlakových odolností cirkulačního okruhu, zásah do vyhrazeného zařízení.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Požadavky revizí a dalších legislativních kroků při zásahu do cirkulačního okruhu.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Zohlednit požadavky instalace a statiky v místě instalace tj. místo usazení, průchody, stávající potrubní rozvody atd. V případě změny specifikovat provedení uložení soustrojí a potrubí včetně statických částí a dynamických požadavků.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Specifikovat technologický postup přípravy a realizace, použité materiály a obvyklé certifikáty dodávané se zařízením, zkoušky u dodavatele, zkoušky na stavbě, požadavky svařovacích prací včetně kvalifikace.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Nezhoršit a v maximálním rozsahu zachovat obslužnost a uživatelský komfort současného řešení.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V případě změny specifikovat a navrhnout základní polní instrumentaci včetně ŘS až na rozhraní operátora </w:t>
      </w:r>
      <w:r>
        <w:rPr>
          <w:rFonts w:ascii="Times New Roman" w:hAnsi="Times New Roman"/>
          <w:sz w:val="24"/>
          <w:szCs w:val="24"/>
        </w:rPr>
        <w:t>kotelny</w:t>
      </w:r>
      <w:r w:rsidRPr="00E345A8">
        <w:rPr>
          <w:rFonts w:ascii="Times New Roman" w:hAnsi="Times New Roman"/>
          <w:sz w:val="24"/>
          <w:szCs w:val="24"/>
        </w:rPr>
        <w:t xml:space="preserve">, která zajistí samočinnou regulaci na požadované výstupní parametry a nepřekročení limitních parametrů. 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V případě změny specifikovat nezbytné příslušenství zejména distribuce maziva, změna ucpávek, změny na rámech, spojkách, rozvaděče, chladicím systému, vyvedení elektrického výkonu, protipožární opatření apod.</w:t>
      </w:r>
    </w:p>
    <w:p w:rsidR="00E6473F" w:rsidRPr="00E345A8" w:rsidRDefault="00E6473F" w:rsidP="00E6473F">
      <w:pPr>
        <w:pStyle w:val="Odstavecseseznamem"/>
        <w:numPr>
          <w:ilvl w:val="1"/>
          <w:numId w:val="2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Návrh systému, který umožní provoz jakéhokoliv čerpadla z cirkulačního okruhu nebo jejich sériovou spolupráci. </w:t>
      </w:r>
    </w:p>
    <w:p w:rsidR="00E6473F" w:rsidRPr="00E345A8" w:rsidRDefault="00E6473F" w:rsidP="00E6473F">
      <w:pPr>
        <w:numPr>
          <w:ilvl w:val="0"/>
          <w:numId w:val="2"/>
        </w:numPr>
        <w:spacing w:before="80"/>
        <w:ind w:left="1134" w:hanging="425"/>
        <w:jc w:val="both"/>
        <w:rPr>
          <w:sz w:val="24"/>
          <w:szCs w:val="24"/>
        </w:rPr>
      </w:pPr>
      <w:r w:rsidRPr="00E345A8">
        <w:rPr>
          <w:sz w:val="24"/>
          <w:szCs w:val="24"/>
        </w:rPr>
        <w:t xml:space="preserve">Zohlednit a zapracovat připomínky </w:t>
      </w:r>
      <w:r>
        <w:rPr>
          <w:sz w:val="24"/>
          <w:szCs w:val="24"/>
        </w:rPr>
        <w:t>zadavatele</w:t>
      </w:r>
      <w:r w:rsidRPr="00E345A8">
        <w:rPr>
          <w:sz w:val="24"/>
          <w:szCs w:val="24"/>
        </w:rPr>
        <w:t xml:space="preserve">, případně </w:t>
      </w:r>
      <w:r>
        <w:rPr>
          <w:sz w:val="24"/>
          <w:szCs w:val="24"/>
        </w:rPr>
        <w:t>dotčených orgánů státní správy</w:t>
      </w:r>
      <w:r w:rsidRPr="00E345A8">
        <w:rPr>
          <w:sz w:val="24"/>
          <w:szCs w:val="24"/>
        </w:rPr>
        <w:t xml:space="preserve">. Účinná spolupráce a zapracování z hlediska požadavků </w:t>
      </w:r>
      <w:r>
        <w:rPr>
          <w:sz w:val="24"/>
          <w:szCs w:val="24"/>
        </w:rPr>
        <w:t>zadavatele</w:t>
      </w:r>
      <w:r w:rsidRPr="00E345A8">
        <w:rPr>
          <w:sz w:val="24"/>
          <w:szCs w:val="24"/>
        </w:rPr>
        <w:t xml:space="preserve"> a připomínek úřadů. </w:t>
      </w:r>
    </w:p>
    <w:p w:rsidR="00E6473F" w:rsidRPr="00E345A8" w:rsidRDefault="00E6473F" w:rsidP="00E6473F">
      <w:pPr>
        <w:pStyle w:val="Odstavecseseznamem"/>
        <w:numPr>
          <w:ilvl w:val="0"/>
          <w:numId w:val="2"/>
        </w:numPr>
        <w:spacing w:before="8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Ohodnocení základního postupu prací – harmonogram prací</w:t>
      </w:r>
      <w:r>
        <w:rPr>
          <w:rFonts w:ascii="Times New Roman" w:hAnsi="Times New Roman"/>
          <w:sz w:val="24"/>
          <w:szCs w:val="24"/>
        </w:rPr>
        <w:t>.</w:t>
      </w:r>
    </w:p>
    <w:p w:rsidR="00E6473F" w:rsidRPr="00E345A8" w:rsidRDefault="00E6473F" w:rsidP="00E6473F">
      <w:pPr>
        <w:numPr>
          <w:ilvl w:val="0"/>
          <w:numId w:val="2"/>
        </w:numPr>
        <w:spacing w:before="80"/>
        <w:ind w:left="1134" w:hanging="425"/>
        <w:jc w:val="both"/>
        <w:rPr>
          <w:sz w:val="24"/>
          <w:szCs w:val="24"/>
        </w:rPr>
      </w:pPr>
      <w:r w:rsidRPr="00E345A8">
        <w:rPr>
          <w:sz w:val="24"/>
          <w:szCs w:val="24"/>
        </w:rPr>
        <w:t>Dokumentace způsobu technického řešení, na jejímž základě bude vybrán zhotovitel díla.</w:t>
      </w:r>
    </w:p>
    <w:p w:rsidR="00E6473F" w:rsidRPr="00E345A8" w:rsidRDefault="00E6473F" w:rsidP="00E6473F">
      <w:pPr>
        <w:pStyle w:val="Odstavecseseznamem"/>
        <w:numPr>
          <w:ilvl w:val="0"/>
          <w:numId w:val="2"/>
        </w:numPr>
        <w:spacing w:before="8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Projekt, který poskytne jednoznačnou informaci o cenách a rozsahu díla, včetně veškerých nutných zkoušek a revizích. Prázdný a plný rozpis výměr – rozpočet</w:t>
      </w:r>
      <w:r>
        <w:rPr>
          <w:rFonts w:ascii="Times New Roman" w:hAnsi="Times New Roman"/>
          <w:sz w:val="24"/>
          <w:szCs w:val="24"/>
        </w:rPr>
        <w:t>.</w:t>
      </w:r>
    </w:p>
    <w:p w:rsidR="00E6473F" w:rsidRPr="00E345A8" w:rsidRDefault="00E6473F" w:rsidP="00E6473F">
      <w:pPr>
        <w:numPr>
          <w:ilvl w:val="0"/>
          <w:numId w:val="2"/>
        </w:numPr>
        <w:spacing w:before="80"/>
        <w:ind w:left="1134" w:hanging="425"/>
        <w:jc w:val="both"/>
        <w:rPr>
          <w:sz w:val="24"/>
          <w:szCs w:val="24"/>
        </w:rPr>
      </w:pPr>
      <w:r w:rsidRPr="00E345A8">
        <w:rPr>
          <w:sz w:val="24"/>
          <w:szCs w:val="24"/>
        </w:rPr>
        <w:t xml:space="preserve">Zohlednění místních podmínek instalace a realizace dle interních nařízení </w:t>
      </w:r>
      <w:r>
        <w:rPr>
          <w:sz w:val="24"/>
          <w:szCs w:val="24"/>
        </w:rPr>
        <w:t>zadavatele</w:t>
      </w:r>
      <w:r w:rsidRPr="00E345A8">
        <w:rPr>
          <w:sz w:val="24"/>
          <w:szCs w:val="24"/>
        </w:rPr>
        <w:t xml:space="preserve"> např. „Sborník vnějších vlivů“ apod.</w:t>
      </w:r>
    </w:p>
    <w:p w:rsidR="00E6473F" w:rsidRPr="00E345A8" w:rsidRDefault="00E6473F" w:rsidP="00E6473F">
      <w:pPr>
        <w:numPr>
          <w:ilvl w:val="0"/>
          <w:numId w:val="2"/>
        </w:numPr>
        <w:spacing w:before="80"/>
        <w:ind w:left="1134" w:hanging="425"/>
        <w:jc w:val="both"/>
        <w:rPr>
          <w:sz w:val="24"/>
          <w:szCs w:val="24"/>
        </w:rPr>
      </w:pPr>
      <w:r w:rsidRPr="00E345A8">
        <w:rPr>
          <w:sz w:val="24"/>
          <w:szCs w:val="24"/>
        </w:rPr>
        <w:t>Dokumentaci zpracuje autorizovaná osoba definovaná dle zákona č. 360/1992 Sb. Veškerá dokumentace bude označena autorizačním razítkem.</w:t>
      </w:r>
    </w:p>
    <w:p w:rsidR="00E6473F" w:rsidRPr="00E345A8" w:rsidRDefault="00E6473F" w:rsidP="00E6473F">
      <w:pPr>
        <w:numPr>
          <w:ilvl w:val="0"/>
          <w:numId w:val="2"/>
        </w:numPr>
        <w:spacing w:before="80"/>
        <w:ind w:left="1134" w:hanging="425"/>
        <w:jc w:val="both"/>
        <w:rPr>
          <w:sz w:val="24"/>
          <w:szCs w:val="24"/>
        </w:rPr>
      </w:pPr>
      <w:r w:rsidRPr="00E345A8">
        <w:rPr>
          <w:sz w:val="24"/>
          <w:szCs w:val="24"/>
        </w:rPr>
        <w:t xml:space="preserve">Zaměření hlavních komponent technologie dle skutečného stavu, verifikace neúplné dokumentace </w:t>
      </w:r>
      <w:r>
        <w:rPr>
          <w:sz w:val="24"/>
          <w:szCs w:val="24"/>
        </w:rPr>
        <w:t>zadavatele</w:t>
      </w:r>
      <w:r w:rsidRPr="00E345A8">
        <w:rPr>
          <w:sz w:val="24"/>
          <w:szCs w:val="24"/>
        </w:rPr>
        <w:t>.</w:t>
      </w:r>
    </w:p>
    <w:p w:rsidR="00E6473F" w:rsidRPr="00E345A8" w:rsidRDefault="00E6473F" w:rsidP="00E6473F">
      <w:pPr>
        <w:numPr>
          <w:ilvl w:val="0"/>
          <w:numId w:val="2"/>
        </w:numPr>
        <w:spacing w:before="80"/>
        <w:ind w:left="1134" w:hanging="425"/>
        <w:jc w:val="both"/>
        <w:rPr>
          <w:sz w:val="24"/>
          <w:szCs w:val="24"/>
        </w:rPr>
      </w:pPr>
      <w:r w:rsidRPr="00E345A8">
        <w:rPr>
          <w:sz w:val="24"/>
          <w:szCs w:val="24"/>
        </w:rPr>
        <w:t>Projektová dokumentace musí zohlednit a být vypracována v souladu:</w:t>
      </w:r>
    </w:p>
    <w:p w:rsidR="00E6473F" w:rsidRPr="00E345A8" w:rsidRDefault="00E6473F" w:rsidP="00E6473F">
      <w:pPr>
        <w:pStyle w:val="Odstavecseseznamem"/>
        <w:numPr>
          <w:ilvl w:val="0"/>
          <w:numId w:val="4"/>
        </w:numPr>
        <w:spacing w:before="80"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Pro svařování platí ČSN EN 1011-2, ISO 15609-1, ISO 15613, a</w:t>
      </w:r>
      <w:r>
        <w:rPr>
          <w:rFonts w:ascii="Times New Roman" w:hAnsi="Times New Roman"/>
          <w:sz w:val="24"/>
          <w:szCs w:val="24"/>
        </w:rPr>
        <w:t xml:space="preserve"> „Směrnice UE, a.s. GŘ č.8/2007“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Třída přesnosti svařování po</w:t>
      </w:r>
      <w:r>
        <w:rPr>
          <w:rFonts w:ascii="Times New Roman" w:hAnsi="Times New Roman"/>
          <w:sz w:val="24"/>
          <w:szCs w:val="24"/>
        </w:rPr>
        <w:t xml:space="preserve">trubí podle ČSN ISO </w:t>
      </w:r>
      <w:proofErr w:type="gramStart"/>
      <w:r>
        <w:rPr>
          <w:rFonts w:ascii="Times New Roman" w:hAnsi="Times New Roman"/>
          <w:sz w:val="24"/>
          <w:szCs w:val="24"/>
        </w:rPr>
        <w:t>13920-D;</w:t>
      </w:r>
      <w:proofErr w:type="gramEnd"/>
      <w:r>
        <w:rPr>
          <w:rFonts w:ascii="Times New Roman" w:hAnsi="Times New Roman"/>
          <w:sz w:val="24"/>
          <w:szCs w:val="24"/>
        </w:rPr>
        <w:t xml:space="preserve"> E 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Kvalifika</w:t>
      </w:r>
      <w:r>
        <w:rPr>
          <w:rFonts w:ascii="Times New Roman" w:hAnsi="Times New Roman"/>
          <w:sz w:val="24"/>
          <w:szCs w:val="24"/>
        </w:rPr>
        <w:t xml:space="preserve">ce svářečů podle ČSN EN 287-1  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Kvalita provádění svářečských prací podle ČSN EN ISO 3834 část </w:t>
      </w:r>
      <w:r>
        <w:rPr>
          <w:rFonts w:ascii="Times New Roman" w:hAnsi="Times New Roman"/>
          <w:sz w:val="24"/>
          <w:szCs w:val="24"/>
        </w:rPr>
        <w:t>1-5</w:t>
      </w:r>
    </w:p>
    <w:p w:rsidR="00E6473F" w:rsidRPr="00E345A8" w:rsidRDefault="00E6473F" w:rsidP="00E6473F">
      <w:pPr>
        <w:pStyle w:val="Odstavecseseznamem"/>
        <w:numPr>
          <w:ilvl w:val="0"/>
          <w:numId w:val="4"/>
        </w:numPr>
        <w:spacing w:before="80"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Tepelné zpracování svarových spojů podle ČSN EN 13</w:t>
      </w:r>
      <w:r>
        <w:rPr>
          <w:rFonts w:ascii="Times New Roman" w:hAnsi="Times New Roman"/>
          <w:sz w:val="24"/>
          <w:szCs w:val="24"/>
        </w:rPr>
        <w:t>480-4, ČSN 420285 a ČSN 05 0211</w:t>
      </w:r>
    </w:p>
    <w:p w:rsidR="00E6473F" w:rsidRPr="00E345A8" w:rsidRDefault="00E6473F" w:rsidP="00E6473F">
      <w:pPr>
        <w:pStyle w:val="Odstavecseseznamem"/>
        <w:numPr>
          <w:ilvl w:val="0"/>
          <w:numId w:val="4"/>
        </w:numPr>
        <w:spacing w:before="80"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Pro kontroly a </w:t>
      </w:r>
      <w:r>
        <w:rPr>
          <w:rFonts w:ascii="Times New Roman" w:hAnsi="Times New Roman"/>
          <w:sz w:val="24"/>
          <w:szCs w:val="24"/>
        </w:rPr>
        <w:t xml:space="preserve">zkoušení platí ČSN EN 13480-5  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Klasifikační stupeň jakosti sva</w:t>
      </w:r>
      <w:r>
        <w:rPr>
          <w:rFonts w:ascii="Times New Roman" w:hAnsi="Times New Roman"/>
          <w:sz w:val="24"/>
          <w:szCs w:val="24"/>
        </w:rPr>
        <w:t xml:space="preserve">rů podle ČSN ISO 5817, třída B 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Vizuální kontrola „VT“ všech svarů podle ČSN EN ISO17637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lastRenderedPageBreak/>
        <w:t xml:space="preserve">Zkoušení všech svarů zkouškou „PT“ metodou ČSN EN 571-1, vyhodnocení ČSN EN 1289, úroveň přípustnosti 1, nebo zkoušení „MT“ podle ČSN EN 1290, vyhodnocení podle ČSN </w:t>
      </w:r>
      <w:r>
        <w:rPr>
          <w:rFonts w:ascii="Times New Roman" w:hAnsi="Times New Roman"/>
          <w:sz w:val="24"/>
          <w:szCs w:val="24"/>
        </w:rPr>
        <w:t xml:space="preserve">EN 1291, úroveň přípustnosti 1 </w:t>
      </w:r>
      <w:r w:rsidRPr="00E345A8">
        <w:rPr>
          <w:rFonts w:ascii="Times New Roman" w:hAnsi="Times New Roman"/>
          <w:sz w:val="24"/>
          <w:szCs w:val="24"/>
        </w:rPr>
        <w:t xml:space="preserve"> 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Zkoušení kořenové partie všech svarů DN300 zkouškou „UT“, metodou ČSN EN 1714,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5A8">
        <w:rPr>
          <w:rFonts w:ascii="Times New Roman" w:hAnsi="Times New Roman"/>
          <w:sz w:val="24"/>
          <w:szCs w:val="24"/>
        </w:rPr>
        <w:t>třída B, vyhodnocení podle</w:t>
      </w:r>
      <w:r>
        <w:rPr>
          <w:rFonts w:ascii="Times New Roman" w:hAnsi="Times New Roman"/>
          <w:sz w:val="24"/>
          <w:szCs w:val="24"/>
        </w:rPr>
        <w:t xml:space="preserve"> EN 1712, úroveň přípustnosti 2</w:t>
      </w:r>
    </w:p>
    <w:p w:rsidR="00E6473F" w:rsidRPr="00E345A8" w:rsidRDefault="00E6473F" w:rsidP="00E6473F">
      <w:pPr>
        <w:pStyle w:val="Odstavecseseznamem"/>
        <w:numPr>
          <w:ilvl w:val="1"/>
          <w:numId w:val="4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Zkoušení všech svarů DN300 prozářením „RT“ metodou EN 1435, třída zkoušení B, vyhodnocení podle ČSN E</w:t>
      </w:r>
      <w:r>
        <w:rPr>
          <w:rFonts w:ascii="Times New Roman" w:hAnsi="Times New Roman"/>
          <w:sz w:val="24"/>
          <w:szCs w:val="24"/>
        </w:rPr>
        <w:t xml:space="preserve">N 12517, úroveň přípustnosti 2 </w:t>
      </w:r>
    </w:p>
    <w:p w:rsidR="00E6473F" w:rsidRPr="00E345A8" w:rsidRDefault="00E6473F" w:rsidP="00E6473F">
      <w:pPr>
        <w:pStyle w:val="Nadpis3"/>
        <w:spacing w:before="80"/>
        <w:ind w:left="0" w:firstLine="709"/>
        <w:rPr>
          <w:rFonts w:ascii="Times New Roman" w:hAnsi="Times New Roman"/>
          <w:szCs w:val="24"/>
        </w:rPr>
      </w:pPr>
      <w:r w:rsidRPr="00E345A8">
        <w:rPr>
          <w:rFonts w:ascii="Times New Roman" w:hAnsi="Times New Roman"/>
          <w:szCs w:val="24"/>
        </w:rPr>
        <w:t>Okrajové podmínky, vstupní a výstupní parametry</w:t>
      </w:r>
    </w:p>
    <w:p w:rsidR="00E6473F" w:rsidRPr="00E345A8" w:rsidRDefault="00E6473F" w:rsidP="00E6473F">
      <w:pPr>
        <w:pStyle w:val="Odstavecseseznamem"/>
        <w:numPr>
          <w:ilvl w:val="0"/>
          <w:numId w:val="3"/>
        </w:numPr>
        <w:spacing w:before="8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 xml:space="preserve">Připojovací body – stanoví projektant s ohledem na využitelnost a cenu řešení. V základním návrhu </w:t>
      </w:r>
      <w:r>
        <w:rPr>
          <w:rFonts w:ascii="Times New Roman" w:hAnsi="Times New Roman"/>
          <w:sz w:val="24"/>
          <w:szCs w:val="24"/>
        </w:rPr>
        <w:t>zadavatel</w:t>
      </w:r>
      <w:r w:rsidRPr="00E345A8">
        <w:rPr>
          <w:rFonts w:ascii="Times New Roman" w:hAnsi="Times New Roman"/>
          <w:sz w:val="24"/>
          <w:szCs w:val="24"/>
        </w:rPr>
        <w:t xml:space="preserve"> předpokládá hraniční body na vstupním a výstupním potrubí v rozmezí 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5A8">
        <w:rPr>
          <w:rFonts w:ascii="Times New Roman" w:hAnsi="Times New Roman"/>
          <w:sz w:val="24"/>
          <w:szCs w:val="24"/>
        </w:rPr>
        <w:t>m až +7</w:t>
      </w:r>
      <w:r>
        <w:rPr>
          <w:rFonts w:ascii="Times New Roman" w:hAnsi="Times New Roman"/>
          <w:sz w:val="24"/>
          <w:szCs w:val="24"/>
        </w:rPr>
        <w:t>,</w:t>
      </w:r>
      <w:r w:rsidRPr="00E345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345A8">
        <w:rPr>
          <w:rFonts w:ascii="Times New Roman" w:hAnsi="Times New Roman"/>
          <w:sz w:val="24"/>
          <w:szCs w:val="24"/>
        </w:rPr>
        <w:t>m.</w:t>
      </w:r>
    </w:p>
    <w:p w:rsidR="00E6473F" w:rsidRPr="00E345A8" w:rsidRDefault="00E6473F" w:rsidP="00E6473F">
      <w:pPr>
        <w:pStyle w:val="Odstavecseseznamem"/>
        <w:numPr>
          <w:ilvl w:val="0"/>
          <w:numId w:val="3"/>
        </w:numPr>
        <w:spacing w:before="8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45A8">
        <w:rPr>
          <w:rFonts w:ascii="Times New Roman" w:hAnsi="Times New Roman"/>
          <w:sz w:val="24"/>
          <w:szCs w:val="24"/>
        </w:rPr>
        <w:t>Vstupní zadávací parametry pro sériové zapojení čerpadel cirkulačního okruhu</w:t>
      </w:r>
    </w:p>
    <w:p w:rsidR="00E6473F" w:rsidRPr="00E345A8" w:rsidRDefault="00E6473F" w:rsidP="00E6473F">
      <w:pPr>
        <w:pStyle w:val="Odstavecseseznamem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2436"/>
      </w:tblGrid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Typ čerpadla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 xml:space="preserve">KSB - </w:t>
            </w:r>
            <w:proofErr w:type="spellStart"/>
            <w:r w:rsidRPr="00DB637B">
              <w:rPr>
                <w:rFonts w:eastAsia="Calibri"/>
                <w:sz w:val="24"/>
                <w:szCs w:val="24"/>
              </w:rPr>
              <w:t>HPHx</w:t>
            </w:r>
            <w:proofErr w:type="spellEnd"/>
            <w:r w:rsidRPr="00DB637B">
              <w:rPr>
                <w:rFonts w:eastAsia="Calibri"/>
                <w:sz w:val="24"/>
                <w:szCs w:val="24"/>
              </w:rPr>
              <w:t xml:space="preserve"> 200-501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Počet čerpadel na jednom cirkulačním okruhu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2 ks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Maximální přetlak systému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DB637B">
              <w:rPr>
                <w:rFonts w:eastAsia="Calibri"/>
                <w:sz w:val="24"/>
                <w:szCs w:val="24"/>
              </w:rPr>
              <w:t>MPa</w:t>
            </w:r>
            <w:proofErr w:type="spellEnd"/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Maximální provozní přetlak systému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 xml:space="preserve">8 </w:t>
            </w:r>
            <w:proofErr w:type="spellStart"/>
            <w:r w:rsidRPr="00DB637B">
              <w:rPr>
                <w:rFonts w:eastAsia="Calibri"/>
                <w:sz w:val="24"/>
                <w:szCs w:val="24"/>
              </w:rPr>
              <w:t>MPa</w:t>
            </w:r>
            <w:proofErr w:type="spellEnd"/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Maximální teplota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311°C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 xml:space="preserve">Provozní rozsah teplot 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20°C - 297°C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Nominální průtok čerpadla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516,3 m</w:t>
            </w:r>
            <w:r w:rsidRPr="00DB637B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DB637B">
              <w:rPr>
                <w:rFonts w:eastAsia="Calibri"/>
                <w:sz w:val="24"/>
                <w:szCs w:val="24"/>
              </w:rPr>
              <w:t>/h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Nominální výška čerpadla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74,8 m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Nominální teplota média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295 °C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Instalovaný motor čerpadla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 xml:space="preserve">160 </w:t>
            </w:r>
            <w:proofErr w:type="gramStart"/>
            <w:r w:rsidRPr="00DB637B">
              <w:rPr>
                <w:rFonts w:eastAsia="Calibri"/>
                <w:sz w:val="24"/>
                <w:szCs w:val="24"/>
              </w:rPr>
              <w:t>kW,</w:t>
            </w:r>
            <w:r w:rsidRPr="00DB637B">
              <w:rPr>
                <w:rFonts w:eastAsia="Calibri"/>
                <w:sz w:val="24"/>
                <w:szCs w:val="24"/>
                <w:lang w:val="en-US"/>
              </w:rPr>
              <w:t>0.4</w:t>
            </w:r>
            <w:proofErr w:type="gramEnd"/>
            <w:r w:rsidRPr="00DB637B">
              <w:rPr>
                <w:rFonts w:eastAsia="Calibri"/>
                <w:sz w:val="24"/>
                <w:szCs w:val="24"/>
                <w:lang w:val="en-US"/>
              </w:rPr>
              <w:t xml:space="preserve"> kV, 50 HZ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Hrdlo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DN 250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Výtlak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DN200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Nominální průtok série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525 m</w:t>
            </w:r>
            <w:r w:rsidRPr="00DB637B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DB637B">
              <w:rPr>
                <w:rFonts w:eastAsia="Calibri"/>
                <w:sz w:val="24"/>
                <w:szCs w:val="24"/>
              </w:rPr>
              <w:t>/h (380 t/h)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Nominální výška série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137 m</w:t>
            </w: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</w:p>
        </w:tc>
      </w:tr>
      <w:tr w:rsidR="00E6473F" w:rsidRPr="00DB637B" w:rsidTr="002717E6">
        <w:trPr>
          <w:jc w:val="center"/>
        </w:trPr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>Dokumentace stávajícího stavu</w:t>
            </w:r>
          </w:p>
        </w:tc>
        <w:tc>
          <w:tcPr>
            <w:tcW w:w="0" w:type="auto"/>
            <w:shd w:val="clear" w:color="auto" w:fill="auto"/>
          </w:tcPr>
          <w:p w:rsidR="00E6473F" w:rsidRPr="00DB637B" w:rsidRDefault="00E6473F" w:rsidP="002717E6">
            <w:pPr>
              <w:spacing w:before="80"/>
              <w:rPr>
                <w:rFonts w:eastAsia="Calibri"/>
                <w:sz w:val="24"/>
                <w:szCs w:val="24"/>
              </w:rPr>
            </w:pPr>
            <w:r w:rsidRPr="00DB637B">
              <w:rPr>
                <w:rFonts w:eastAsia="Calibri"/>
                <w:sz w:val="24"/>
                <w:szCs w:val="24"/>
              </w:rPr>
              <w:t xml:space="preserve">viz příloha </w:t>
            </w:r>
            <w:proofErr w:type="gramStart"/>
            <w:r w:rsidRPr="00DB637B">
              <w:rPr>
                <w:rFonts w:eastAsia="Calibri"/>
                <w:sz w:val="24"/>
                <w:szCs w:val="24"/>
              </w:rPr>
              <w:t>č.2 až</w:t>
            </w:r>
            <w:proofErr w:type="gramEnd"/>
            <w:r w:rsidRPr="00DB637B">
              <w:rPr>
                <w:rFonts w:eastAsia="Calibri"/>
                <w:sz w:val="24"/>
                <w:szCs w:val="24"/>
              </w:rPr>
              <w:t xml:space="preserve"> 5</w:t>
            </w:r>
          </w:p>
        </w:tc>
      </w:tr>
    </w:tbl>
    <w:p w:rsidR="00E6473F" w:rsidRPr="00E345A8" w:rsidRDefault="00E6473F" w:rsidP="00E6473F">
      <w:pPr>
        <w:spacing w:before="80"/>
        <w:jc w:val="both"/>
        <w:rPr>
          <w:sz w:val="24"/>
          <w:szCs w:val="24"/>
        </w:rPr>
      </w:pPr>
    </w:p>
    <w:p w:rsidR="00E6473F" w:rsidRPr="00E345A8" w:rsidRDefault="00E6473F" w:rsidP="00E6473F">
      <w:pPr>
        <w:pStyle w:val="Zkladntextodsazen2"/>
        <w:tabs>
          <w:tab w:val="left" w:pos="709"/>
        </w:tabs>
        <w:spacing w:before="80"/>
        <w:ind w:left="708" w:hanging="424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1</w:t>
      </w:r>
      <w:r w:rsidRPr="00E345A8">
        <w:rPr>
          <w:b/>
          <w:bCs/>
          <w:color w:val="000000"/>
          <w:szCs w:val="24"/>
        </w:rPr>
        <w:t>.</w:t>
      </w:r>
      <w:r>
        <w:rPr>
          <w:b/>
          <w:bCs/>
          <w:color w:val="000000"/>
          <w:szCs w:val="24"/>
        </w:rPr>
        <w:t>4</w:t>
      </w:r>
      <w:r w:rsidRPr="00E345A8">
        <w:rPr>
          <w:b/>
          <w:bCs/>
          <w:color w:val="000000"/>
          <w:szCs w:val="24"/>
        </w:rPr>
        <w:tab/>
        <w:t xml:space="preserve">Počet a forma vyhotovení  výsledků/výstupů předmětu plnění                                                                                                                                                                        </w:t>
      </w:r>
    </w:p>
    <w:p w:rsidR="00E6473F" w:rsidRPr="00E345A8" w:rsidRDefault="00E6473F" w:rsidP="00E6473F">
      <w:pPr>
        <w:spacing w:before="80"/>
        <w:ind w:left="720"/>
        <w:jc w:val="both"/>
        <w:rPr>
          <w:sz w:val="24"/>
          <w:szCs w:val="24"/>
        </w:rPr>
      </w:pPr>
      <w:r w:rsidRPr="00E345A8">
        <w:rPr>
          <w:sz w:val="24"/>
          <w:szCs w:val="24"/>
        </w:rPr>
        <w:t xml:space="preserve">Dokumentace v tištěné podobě (2 </w:t>
      </w:r>
      <w:proofErr w:type="spellStart"/>
      <w:r w:rsidRPr="00E345A8">
        <w:rPr>
          <w:sz w:val="24"/>
          <w:szCs w:val="24"/>
        </w:rPr>
        <w:t>paré</w:t>
      </w:r>
      <w:proofErr w:type="spellEnd"/>
      <w:r w:rsidRPr="00E345A8">
        <w:rPr>
          <w:sz w:val="24"/>
          <w:szCs w:val="24"/>
        </w:rPr>
        <w:t xml:space="preserve"> pro odsouhlasení + 1x </w:t>
      </w:r>
      <w:proofErr w:type="spellStart"/>
      <w:r w:rsidRPr="00E345A8">
        <w:rPr>
          <w:sz w:val="24"/>
          <w:szCs w:val="24"/>
        </w:rPr>
        <w:t>digi</w:t>
      </w:r>
      <w:proofErr w:type="spellEnd"/>
      <w:r w:rsidRPr="00E345A8">
        <w:rPr>
          <w:sz w:val="24"/>
          <w:szCs w:val="24"/>
        </w:rPr>
        <w:t xml:space="preserve">, finální provedení v 6 </w:t>
      </w:r>
      <w:proofErr w:type="spellStart"/>
      <w:r w:rsidRPr="00E345A8">
        <w:rPr>
          <w:sz w:val="24"/>
          <w:szCs w:val="24"/>
        </w:rPr>
        <w:t>paré</w:t>
      </w:r>
      <w:proofErr w:type="spellEnd"/>
      <w:r w:rsidRPr="00E345A8">
        <w:rPr>
          <w:sz w:val="24"/>
          <w:szCs w:val="24"/>
        </w:rPr>
        <w:t>) a digitální podobě 1x</w:t>
      </w:r>
      <w:r>
        <w:rPr>
          <w:sz w:val="24"/>
          <w:szCs w:val="24"/>
        </w:rPr>
        <w:t>.</w:t>
      </w:r>
    </w:p>
    <w:p w:rsidR="00E6473F" w:rsidRPr="00E345A8" w:rsidRDefault="00E6473F" w:rsidP="00E6473F">
      <w:pPr>
        <w:pStyle w:val="Zkladntext"/>
        <w:numPr>
          <w:ilvl w:val="0"/>
          <w:numId w:val="1"/>
        </w:numPr>
        <w:spacing w:before="80"/>
        <w:jc w:val="both"/>
        <w:rPr>
          <w:b w:val="0"/>
          <w:caps/>
          <w:color w:val="000000"/>
          <w:sz w:val="24"/>
          <w:szCs w:val="24"/>
        </w:rPr>
      </w:pPr>
      <w:r w:rsidRPr="00E345A8">
        <w:rPr>
          <w:b w:val="0"/>
          <w:color w:val="000000"/>
          <w:sz w:val="24"/>
          <w:szCs w:val="24"/>
        </w:rPr>
        <w:t>textová část zprávy bude vyhotovena ve formátu *.doc,</w:t>
      </w:r>
      <w:r w:rsidRPr="00E345A8">
        <w:rPr>
          <w:b w:val="0"/>
          <w:caps/>
          <w:color w:val="000000"/>
          <w:sz w:val="24"/>
          <w:szCs w:val="24"/>
        </w:rPr>
        <w:t xml:space="preserve"> *.</w:t>
      </w:r>
      <w:proofErr w:type="spellStart"/>
      <w:r w:rsidRPr="00E345A8">
        <w:rPr>
          <w:b w:val="0"/>
          <w:color w:val="000000"/>
          <w:sz w:val="24"/>
          <w:szCs w:val="24"/>
        </w:rPr>
        <w:t>jpg</w:t>
      </w:r>
      <w:proofErr w:type="spellEnd"/>
    </w:p>
    <w:p w:rsidR="00E6473F" w:rsidRPr="00E345A8" w:rsidRDefault="00E6473F" w:rsidP="00E6473F">
      <w:pPr>
        <w:pStyle w:val="Zkladntext"/>
        <w:numPr>
          <w:ilvl w:val="0"/>
          <w:numId w:val="1"/>
        </w:numPr>
        <w:spacing w:before="80"/>
        <w:jc w:val="both"/>
        <w:rPr>
          <w:b w:val="0"/>
          <w:caps/>
          <w:color w:val="000000"/>
          <w:sz w:val="24"/>
          <w:szCs w:val="24"/>
        </w:rPr>
      </w:pPr>
      <w:r w:rsidRPr="00E345A8">
        <w:rPr>
          <w:b w:val="0"/>
          <w:color w:val="000000"/>
          <w:sz w:val="24"/>
          <w:szCs w:val="24"/>
        </w:rPr>
        <w:t>tabulková část bude vyhotovena ve formátu *.</w:t>
      </w:r>
      <w:proofErr w:type="spellStart"/>
      <w:r w:rsidRPr="00E345A8">
        <w:rPr>
          <w:b w:val="0"/>
          <w:color w:val="000000"/>
          <w:sz w:val="24"/>
          <w:szCs w:val="24"/>
        </w:rPr>
        <w:t>xls</w:t>
      </w:r>
      <w:proofErr w:type="spellEnd"/>
      <w:r w:rsidRPr="00E345A8">
        <w:rPr>
          <w:b w:val="0"/>
          <w:color w:val="000000"/>
          <w:sz w:val="24"/>
          <w:szCs w:val="24"/>
        </w:rPr>
        <w:t>, *.</w:t>
      </w:r>
      <w:proofErr w:type="spellStart"/>
      <w:r w:rsidRPr="00E345A8">
        <w:rPr>
          <w:b w:val="0"/>
          <w:color w:val="000000"/>
          <w:sz w:val="24"/>
          <w:szCs w:val="24"/>
        </w:rPr>
        <w:t>jpg</w:t>
      </w:r>
      <w:proofErr w:type="spellEnd"/>
      <w:r w:rsidRPr="00E345A8">
        <w:rPr>
          <w:b w:val="0"/>
          <w:color w:val="000000"/>
          <w:sz w:val="24"/>
          <w:szCs w:val="24"/>
        </w:rPr>
        <w:t xml:space="preserve"> </w:t>
      </w:r>
    </w:p>
    <w:p w:rsidR="00E6473F" w:rsidRPr="00E345A8" w:rsidRDefault="00E6473F" w:rsidP="00E6473F">
      <w:pPr>
        <w:pStyle w:val="Zkladntext"/>
        <w:spacing w:before="80"/>
        <w:ind w:left="1371"/>
        <w:jc w:val="both"/>
        <w:rPr>
          <w:b w:val="0"/>
          <w:snapToGrid w:val="0"/>
          <w:color w:val="000000"/>
          <w:sz w:val="24"/>
          <w:szCs w:val="24"/>
        </w:rPr>
      </w:pPr>
      <w:r w:rsidRPr="00E345A8">
        <w:rPr>
          <w:b w:val="0"/>
          <w:color w:val="000000"/>
          <w:sz w:val="24"/>
          <w:szCs w:val="24"/>
        </w:rPr>
        <w:lastRenderedPageBreak/>
        <w:t>Oba formáty budou uživatelsky přístupné z prostředí „OFFICE 97“ nebo „OFFICE 2000“.</w:t>
      </w:r>
      <w:r w:rsidRPr="00E345A8">
        <w:rPr>
          <w:b w:val="0"/>
          <w:snapToGrid w:val="0"/>
          <w:color w:val="000000"/>
          <w:sz w:val="24"/>
          <w:szCs w:val="24"/>
        </w:rPr>
        <w:t xml:space="preserve"> </w:t>
      </w:r>
    </w:p>
    <w:p w:rsidR="00E6473F" w:rsidRPr="00E345A8" w:rsidRDefault="00E6473F" w:rsidP="00E6473F">
      <w:pPr>
        <w:pStyle w:val="Zkladntext"/>
        <w:tabs>
          <w:tab w:val="left" w:pos="1701"/>
        </w:tabs>
        <w:spacing w:before="80"/>
        <w:ind w:left="1371"/>
        <w:jc w:val="both"/>
        <w:rPr>
          <w:b w:val="0"/>
          <w:color w:val="000000"/>
          <w:sz w:val="24"/>
          <w:szCs w:val="24"/>
        </w:rPr>
      </w:pPr>
      <w:r w:rsidRPr="00E345A8">
        <w:rPr>
          <w:b w:val="0"/>
          <w:snapToGrid w:val="0"/>
          <w:color w:val="000000"/>
          <w:sz w:val="24"/>
          <w:szCs w:val="24"/>
        </w:rPr>
        <w:t>-</w:t>
      </w:r>
      <w:r w:rsidRPr="00E345A8">
        <w:rPr>
          <w:b w:val="0"/>
          <w:snapToGrid w:val="0"/>
          <w:color w:val="000000"/>
          <w:sz w:val="24"/>
          <w:szCs w:val="24"/>
        </w:rPr>
        <w:tab/>
        <w:t xml:space="preserve">výkresová část bude objednateli předána ve </w:t>
      </w:r>
      <w:proofErr w:type="gramStart"/>
      <w:r w:rsidRPr="00E345A8">
        <w:rPr>
          <w:b w:val="0"/>
          <w:snapToGrid w:val="0"/>
          <w:color w:val="000000"/>
          <w:sz w:val="24"/>
          <w:szCs w:val="24"/>
        </w:rPr>
        <w:t>formátu  *.</w:t>
      </w:r>
      <w:proofErr w:type="spellStart"/>
      <w:r w:rsidRPr="00E345A8">
        <w:rPr>
          <w:b w:val="0"/>
          <w:snapToGrid w:val="0"/>
          <w:color w:val="000000"/>
          <w:sz w:val="24"/>
          <w:szCs w:val="24"/>
        </w:rPr>
        <w:t>dwg</w:t>
      </w:r>
      <w:proofErr w:type="spellEnd"/>
      <w:proofErr w:type="gramEnd"/>
      <w:r w:rsidRPr="00E345A8">
        <w:rPr>
          <w:b w:val="0"/>
          <w:snapToGrid w:val="0"/>
          <w:color w:val="000000"/>
          <w:sz w:val="24"/>
          <w:szCs w:val="24"/>
        </w:rPr>
        <w:t xml:space="preserve">, </w:t>
      </w:r>
      <w:r w:rsidRPr="00E345A8">
        <w:rPr>
          <w:b w:val="0"/>
          <w:color w:val="000000"/>
          <w:sz w:val="24"/>
          <w:szCs w:val="24"/>
        </w:rPr>
        <w:t>*.</w:t>
      </w:r>
      <w:proofErr w:type="spellStart"/>
      <w:r w:rsidRPr="00E345A8">
        <w:rPr>
          <w:b w:val="0"/>
          <w:color w:val="000000"/>
          <w:sz w:val="24"/>
          <w:szCs w:val="24"/>
        </w:rPr>
        <w:t>pdf</w:t>
      </w:r>
      <w:proofErr w:type="spellEnd"/>
      <w:r w:rsidRPr="00E345A8">
        <w:rPr>
          <w:b w:val="0"/>
          <w:color w:val="000000"/>
          <w:sz w:val="24"/>
          <w:szCs w:val="24"/>
        </w:rPr>
        <w:t xml:space="preserve"> (či v prostředí konvergujícím do jiného formátu).</w:t>
      </w:r>
    </w:p>
    <w:p w:rsidR="00E6473F" w:rsidRPr="00E345A8" w:rsidRDefault="00E6473F" w:rsidP="00E6473F">
      <w:pPr>
        <w:pStyle w:val="Zkladntext"/>
        <w:tabs>
          <w:tab w:val="left" w:pos="709"/>
        </w:tabs>
        <w:spacing w:before="80"/>
        <w:ind w:left="709"/>
        <w:jc w:val="both"/>
        <w:rPr>
          <w:b w:val="0"/>
          <w:color w:val="000000"/>
          <w:sz w:val="24"/>
          <w:szCs w:val="24"/>
        </w:rPr>
      </w:pPr>
      <w:r w:rsidRPr="00E345A8">
        <w:rPr>
          <w:b w:val="0"/>
          <w:color w:val="000000"/>
          <w:sz w:val="24"/>
          <w:szCs w:val="24"/>
        </w:rPr>
        <w:t>Žádný z předaných souborů nebude chráněn heslem či jiným způsobem, který by znemožnil další zpracování souboru objednatelem (editace, kopie, konverze do jiných formátů apod.).</w:t>
      </w:r>
    </w:p>
    <w:p w:rsidR="00E6473F" w:rsidRPr="00E345A8" w:rsidRDefault="00E6473F" w:rsidP="00E6473F">
      <w:pPr>
        <w:pStyle w:val="Zkladntext"/>
        <w:tabs>
          <w:tab w:val="left" w:pos="709"/>
        </w:tabs>
        <w:spacing w:before="80"/>
        <w:ind w:left="709"/>
        <w:jc w:val="both"/>
        <w:rPr>
          <w:b w:val="0"/>
          <w:bCs/>
          <w:color w:val="000000"/>
          <w:sz w:val="24"/>
          <w:szCs w:val="24"/>
        </w:rPr>
      </w:pPr>
      <w:r w:rsidRPr="00E345A8">
        <w:rPr>
          <w:b w:val="0"/>
          <w:color w:val="000000"/>
          <w:sz w:val="24"/>
          <w:szCs w:val="24"/>
        </w:rPr>
        <w:t xml:space="preserve">Kompletní projektová dokumentace (tištěná i digitální forma) bude zpracována a předána v českém jazyce, budou používány jednotky soustavy </w:t>
      </w:r>
      <w:proofErr w:type="gramStart"/>
      <w:r w:rsidRPr="00E345A8">
        <w:rPr>
          <w:b w:val="0"/>
          <w:color w:val="000000"/>
          <w:sz w:val="24"/>
          <w:szCs w:val="24"/>
        </w:rPr>
        <w:t>SI</w:t>
      </w:r>
      <w:proofErr w:type="gramEnd"/>
      <w:r w:rsidRPr="00E345A8">
        <w:rPr>
          <w:b w:val="0"/>
          <w:color w:val="000000"/>
          <w:sz w:val="24"/>
          <w:szCs w:val="24"/>
        </w:rPr>
        <w:t xml:space="preserve">. </w:t>
      </w:r>
    </w:p>
    <w:p w:rsidR="003B6E71" w:rsidRDefault="003B6E71"/>
    <w:sectPr w:rsidR="003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9EE"/>
    <w:multiLevelType w:val="hybridMultilevel"/>
    <w:tmpl w:val="E32A82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312138"/>
    <w:multiLevelType w:val="hybridMultilevel"/>
    <w:tmpl w:val="AD0C1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74D8"/>
    <w:multiLevelType w:val="hybridMultilevel"/>
    <w:tmpl w:val="A5EA8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F3B9D"/>
    <w:multiLevelType w:val="hybridMultilevel"/>
    <w:tmpl w:val="6D96B3EA"/>
    <w:lvl w:ilvl="0" w:tplc="FFFFFFFF">
      <w:start w:val="400"/>
      <w:numFmt w:val="bullet"/>
      <w:lvlText w:val="-"/>
      <w:lvlJc w:val="left"/>
      <w:pPr>
        <w:tabs>
          <w:tab w:val="num" w:pos="1731"/>
        </w:tabs>
        <w:ind w:left="173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3F"/>
    <w:rsid w:val="003B6E71"/>
    <w:rsid w:val="00E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6473F"/>
    <w:pPr>
      <w:keepNext/>
      <w:ind w:left="8496"/>
      <w:outlineLvl w:val="2"/>
    </w:pPr>
    <w:rPr>
      <w:rFonts w:ascii="Arial" w:hAnsi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6473F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6473F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E6473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473F"/>
    <w:pPr>
      <w:ind w:left="851" w:hanging="425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47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473F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6473F"/>
    <w:pPr>
      <w:keepNext/>
      <w:ind w:left="8496"/>
      <w:outlineLvl w:val="2"/>
    </w:pPr>
    <w:rPr>
      <w:rFonts w:ascii="Arial" w:hAnsi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6473F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6473F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E6473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473F"/>
    <w:pPr>
      <w:ind w:left="851" w:hanging="425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47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473F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UnitedEnergy, a.s.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Landa</dc:creator>
  <cp:lastModifiedBy>František Landa</cp:lastModifiedBy>
  <cp:revision>1</cp:revision>
  <dcterms:created xsi:type="dcterms:W3CDTF">2013-12-03T08:18:00Z</dcterms:created>
  <dcterms:modified xsi:type="dcterms:W3CDTF">2013-12-03T08:21:00Z</dcterms:modified>
</cp:coreProperties>
</file>